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drawings/drawing3.xml" ContentType="application/vnd.openxmlformats-officedocument.drawingml.chartshapes+xml"/>
  <Override PartName="/word/charts/chart5.xml" ContentType="application/vnd.openxmlformats-officedocument.drawingml.chart+xml"/>
  <Override PartName="/word/drawings/drawing4.xml" ContentType="application/vnd.openxmlformats-officedocument.drawingml.chartshapes+xml"/>
  <Override PartName="/word/charts/chart6.xml" ContentType="application/vnd.openxmlformats-officedocument.drawingml.chart+xml"/>
  <Override PartName="/word/drawings/drawing5.xml" ContentType="application/vnd.openxmlformats-officedocument.drawingml.chartshapes+xml"/>
  <Override PartName="/word/charts/chart7.xml" ContentType="application/vnd.openxmlformats-officedocument.drawingml.chart+xml"/>
  <Override PartName="/word/drawings/drawing6.xml" ContentType="application/vnd.openxmlformats-officedocument.drawingml.chartshapes+xml"/>
  <Override PartName="/word/charts/chart8.xml" ContentType="application/vnd.openxmlformats-officedocument.drawingml.chart+xml"/>
  <Override PartName="/word/drawings/drawing7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A75A6" w:rsidRDefault="00FA75A6" w:rsidP="00FA75A6">
      <w:pPr>
        <w:rPr>
          <w:rFonts w:ascii="Verdana" w:hAnsi="Verdana" w:cs="Arial"/>
          <w:b/>
          <w:bCs/>
          <w:lang w:val="mk-MK"/>
        </w:rPr>
      </w:pPr>
      <w:r w:rsidRPr="002F7C76">
        <w:rPr>
          <w:rFonts w:ascii="Verdana" w:hAnsi="Verdana" w:cs="Arial"/>
          <w:b/>
          <w:bCs/>
          <w:lang w:val="mk-MK"/>
        </w:rPr>
        <w:t>29 СЕПТЕМВРИ – СВЕТСКИ ДЕН НА СРЦЕТО</w:t>
      </w:r>
    </w:p>
    <w:p w:rsidR="001A71D7" w:rsidRPr="005B31FD" w:rsidRDefault="001A71D7" w:rsidP="001A71D7">
      <w:pPr>
        <w:rPr>
          <w:rFonts w:ascii="Verdana" w:hAnsi="Verdana" w:cs="Arial"/>
          <w:b/>
          <w:bCs/>
          <w:lang w:val="ru-RU"/>
        </w:rPr>
      </w:pPr>
    </w:p>
    <w:p w:rsidR="00074590" w:rsidRPr="005E6B58" w:rsidRDefault="00074590" w:rsidP="00074590">
      <w:pPr>
        <w:jc w:val="both"/>
        <w:rPr>
          <w:rFonts w:ascii="Verdana" w:hAnsi="Verdana" w:cs="Arial"/>
          <w:sz w:val="20"/>
          <w:szCs w:val="20"/>
          <w:lang w:val="ru-RU"/>
        </w:rPr>
      </w:pPr>
      <w:r w:rsidRPr="005E6B58">
        <w:rPr>
          <w:rFonts w:ascii="Verdana" w:hAnsi="Verdana" w:cs="Arial"/>
          <w:sz w:val="20"/>
          <w:szCs w:val="20"/>
          <w:lang w:val="ru-RU"/>
        </w:rPr>
        <w:t xml:space="preserve">Кардиоваскуларните болести се </w:t>
      </w:r>
      <w:r>
        <w:rPr>
          <w:rFonts w:ascii="Verdana" w:hAnsi="Verdana" w:cs="Arial"/>
          <w:sz w:val="20"/>
          <w:szCs w:val="20"/>
          <w:lang w:val="ru-RU"/>
        </w:rPr>
        <w:t xml:space="preserve">водечка </w:t>
      </w:r>
      <w:r w:rsidRPr="005E6B58">
        <w:rPr>
          <w:rFonts w:ascii="Verdana" w:hAnsi="Verdana" w:cs="Arial"/>
          <w:sz w:val="20"/>
          <w:szCs w:val="20"/>
          <w:lang w:val="ru-RU"/>
        </w:rPr>
        <w:t xml:space="preserve">причина за смрт на глобално ниво, тие предизвикуваат повеќе смртни случаи отколку сите други причини заедно и ги </w:t>
      </w:r>
      <w:r>
        <w:rPr>
          <w:rFonts w:ascii="Verdana" w:hAnsi="Verdana" w:cs="Arial"/>
          <w:sz w:val="20"/>
          <w:szCs w:val="20"/>
          <w:lang w:val="mk-MK"/>
        </w:rPr>
        <w:t>зафаќа</w:t>
      </w:r>
      <w:r w:rsidRPr="005E6B58">
        <w:rPr>
          <w:rFonts w:ascii="Verdana" w:hAnsi="Verdana" w:cs="Arial"/>
          <w:sz w:val="20"/>
          <w:szCs w:val="20"/>
          <w:lang w:val="ru-RU"/>
        </w:rPr>
        <w:t xml:space="preserve"> најмногу зе</w:t>
      </w:r>
      <w:r>
        <w:rPr>
          <w:rFonts w:ascii="Verdana" w:hAnsi="Verdana" w:cs="Arial"/>
          <w:sz w:val="20"/>
          <w:szCs w:val="20"/>
          <w:lang w:val="ru-RU"/>
        </w:rPr>
        <w:t>мјите со низок и среден приход.</w:t>
      </w:r>
      <w:r w:rsidRPr="005E6B58">
        <w:rPr>
          <w:rFonts w:ascii="Verdana" w:hAnsi="Verdana" w:cs="Arial"/>
          <w:sz w:val="20"/>
          <w:szCs w:val="20"/>
          <w:lang w:val="ru-RU"/>
        </w:rPr>
        <w:t xml:space="preserve"> Во рамките на незаразните болести кардиоваскуларните болести заедно со малигните заболувања се причина за речиси три четвртини за смртноста во Европскиот регион</w:t>
      </w:r>
      <w:r>
        <w:rPr>
          <w:rFonts w:ascii="Verdana" w:hAnsi="Verdana" w:cs="Arial"/>
          <w:sz w:val="20"/>
          <w:szCs w:val="20"/>
          <w:lang w:val="ru-RU"/>
        </w:rPr>
        <w:t>.</w:t>
      </w:r>
      <w:r w:rsidRPr="005E6B58">
        <w:rPr>
          <w:rFonts w:ascii="Verdana" w:hAnsi="Verdana" w:cs="Arial"/>
          <w:sz w:val="20"/>
          <w:szCs w:val="20"/>
          <w:lang w:val="ru-RU"/>
        </w:rPr>
        <w:t xml:space="preserve"> </w:t>
      </w:r>
      <w:r>
        <w:rPr>
          <w:rFonts w:ascii="Verdana" w:hAnsi="Verdana" w:cs="Arial"/>
          <w:sz w:val="20"/>
          <w:szCs w:val="20"/>
          <w:lang w:val="ru-RU"/>
        </w:rPr>
        <w:t>П</w:t>
      </w:r>
      <w:r w:rsidRPr="005E6B58">
        <w:rPr>
          <w:rFonts w:ascii="Verdana" w:hAnsi="Verdana" w:cs="Arial"/>
          <w:sz w:val="20"/>
          <w:szCs w:val="20"/>
          <w:lang w:val="ru-RU"/>
        </w:rPr>
        <w:t>роценките покажуваат дека најмалку 80%</w:t>
      </w:r>
      <w:r>
        <w:rPr>
          <w:rFonts w:ascii="Verdana" w:hAnsi="Verdana" w:cs="Arial"/>
          <w:sz w:val="20"/>
          <w:szCs w:val="20"/>
        </w:rPr>
        <w:t xml:space="preserve"> </w:t>
      </w:r>
      <w:r w:rsidRPr="005E6B58">
        <w:rPr>
          <w:rFonts w:ascii="Verdana" w:hAnsi="Verdana" w:cs="Arial"/>
          <w:sz w:val="20"/>
          <w:szCs w:val="20"/>
          <w:lang w:val="ru-RU"/>
        </w:rPr>
        <w:t xml:space="preserve">од сите срцеви болести, срцев удар и дијабетес тип 2 може да се спречат. </w:t>
      </w:r>
    </w:p>
    <w:p w:rsidR="00074590" w:rsidRPr="009A5909" w:rsidRDefault="00074590" w:rsidP="0007459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ru-RU"/>
        </w:rPr>
        <w:t>Секоја година кардиоваскуларните болести се причина за 17</w:t>
      </w:r>
      <w:r w:rsidR="009A5909">
        <w:rPr>
          <w:rFonts w:ascii="Verdana" w:hAnsi="Verdana" w:cs="Arial"/>
          <w:sz w:val="20"/>
          <w:szCs w:val="20"/>
        </w:rPr>
        <w:t>.</w:t>
      </w:r>
      <w:r w:rsidR="00FA75A6">
        <w:rPr>
          <w:rFonts w:ascii="Verdana" w:hAnsi="Verdana" w:cs="Arial"/>
          <w:sz w:val="20"/>
          <w:szCs w:val="20"/>
        </w:rPr>
        <w:t>9</w:t>
      </w:r>
      <w:r>
        <w:rPr>
          <w:rFonts w:ascii="Verdana" w:hAnsi="Verdana" w:cs="Arial"/>
          <w:sz w:val="20"/>
          <w:szCs w:val="20"/>
          <w:lang w:val="ru-RU"/>
        </w:rPr>
        <w:t xml:space="preserve"> милиони случаи на прерана смрт, </w:t>
      </w:r>
      <w:r w:rsidRPr="005E6B58">
        <w:rPr>
          <w:rFonts w:ascii="Verdana" w:hAnsi="Verdana" w:cs="Arial"/>
          <w:sz w:val="20"/>
          <w:szCs w:val="20"/>
          <w:lang w:val="ru-RU"/>
        </w:rPr>
        <w:t xml:space="preserve">а до 2030 година, </w:t>
      </w:r>
      <w:r>
        <w:rPr>
          <w:rFonts w:ascii="Verdana" w:hAnsi="Verdana" w:cs="Arial"/>
          <w:sz w:val="20"/>
          <w:szCs w:val="20"/>
          <w:lang w:val="ru-RU"/>
        </w:rPr>
        <w:t xml:space="preserve">се очекува дека </w:t>
      </w:r>
      <w:r w:rsidRPr="005E6B58">
        <w:rPr>
          <w:rFonts w:ascii="Verdana" w:hAnsi="Verdana" w:cs="Arial"/>
          <w:sz w:val="20"/>
          <w:szCs w:val="20"/>
          <w:lang w:val="ru-RU"/>
        </w:rPr>
        <w:t xml:space="preserve">23.6 милиони луѓе ќе умрат од овие заболувања. Ова се проектирани бројки од Светската здравствена организација (СЗО), при што се очекува КВБ да останат водечка причина за смрт во светот. </w:t>
      </w:r>
    </w:p>
    <w:p w:rsidR="003929D5" w:rsidRPr="00E65AB9" w:rsidRDefault="003929D5" w:rsidP="003929D5">
      <w:pPr>
        <w:jc w:val="both"/>
        <w:rPr>
          <w:rFonts w:ascii="Verdana" w:hAnsi="Verdana" w:cs="Arial"/>
          <w:b/>
          <w:bCs/>
          <w:color w:val="FF0000"/>
          <w:lang w:val="ru-RU"/>
        </w:rPr>
      </w:pPr>
      <w:r w:rsidRPr="005E6B58">
        <w:rPr>
          <w:rFonts w:ascii="Verdana" w:hAnsi="Verdana" w:cs="Arial"/>
          <w:sz w:val="20"/>
          <w:szCs w:val="20"/>
          <w:lang w:val="ru-RU"/>
        </w:rPr>
        <w:t xml:space="preserve">Најчести ризик фактори за настанување на кардиоваскуларните заболувања </w:t>
      </w:r>
      <w:r>
        <w:rPr>
          <w:rFonts w:ascii="Verdana" w:hAnsi="Verdana" w:cs="Arial"/>
          <w:sz w:val="20"/>
          <w:szCs w:val="20"/>
          <w:lang w:val="ru-RU"/>
        </w:rPr>
        <w:t xml:space="preserve">кои се поврзани со однесувањето </w:t>
      </w:r>
      <w:r w:rsidRPr="005E6B58">
        <w:rPr>
          <w:rFonts w:ascii="Verdana" w:hAnsi="Verdana" w:cs="Arial"/>
          <w:sz w:val="20"/>
          <w:szCs w:val="20"/>
          <w:lang w:val="ru-RU"/>
        </w:rPr>
        <w:t>се</w:t>
      </w:r>
      <w:r w:rsidRPr="00DA3B96">
        <w:rPr>
          <w:rFonts w:ascii="Verdana" w:hAnsi="Verdana" w:cs="Arial"/>
          <w:b/>
          <w:bCs/>
          <w:lang w:val="ru-RU"/>
        </w:rPr>
        <w:t xml:space="preserve"> </w:t>
      </w:r>
      <w:r w:rsidRPr="00DA3B96">
        <w:rPr>
          <w:rFonts w:ascii="Verdana" w:hAnsi="Verdana" w:cs="Arial"/>
          <w:bCs/>
          <w:sz w:val="20"/>
          <w:szCs w:val="20"/>
          <w:lang w:val="ru-RU"/>
        </w:rPr>
        <w:t>употреба на тутун, физичка неактивност, не</w:t>
      </w:r>
      <w:r w:rsidR="000C4B13">
        <w:rPr>
          <w:rFonts w:ascii="Verdana" w:hAnsi="Verdana" w:cs="Arial"/>
          <w:bCs/>
          <w:sz w:val="20"/>
          <w:szCs w:val="20"/>
          <w:lang w:val="mk-MK"/>
        </w:rPr>
        <w:t>правилна</w:t>
      </w:r>
      <w:r w:rsidRPr="00DA3B96">
        <w:rPr>
          <w:rFonts w:ascii="Verdana" w:hAnsi="Verdana" w:cs="Arial"/>
          <w:bCs/>
          <w:sz w:val="20"/>
          <w:szCs w:val="20"/>
          <w:lang w:val="ru-RU"/>
        </w:rPr>
        <w:t xml:space="preserve"> исхрана и </w:t>
      </w:r>
      <w:r w:rsidR="002F31F6">
        <w:rPr>
          <w:rFonts w:ascii="Verdana" w:hAnsi="Verdana" w:cs="Arial"/>
          <w:bCs/>
          <w:sz w:val="20"/>
          <w:szCs w:val="20"/>
          <w:lang w:val="mk-MK"/>
        </w:rPr>
        <w:t>прекумерна</w:t>
      </w:r>
      <w:r w:rsidR="002F31F6" w:rsidRPr="00DA3B96">
        <w:rPr>
          <w:rFonts w:ascii="Verdana" w:hAnsi="Verdana" w:cs="Arial"/>
          <w:bCs/>
          <w:sz w:val="20"/>
          <w:szCs w:val="20"/>
          <w:lang w:val="ru-RU"/>
        </w:rPr>
        <w:t xml:space="preserve"> </w:t>
      </w:r>
      <w:r w:rsidRPr="00DA3B96">
        <w:rPr>
          <w:rFonts w:ascii="Verdana" w:hAnsi="Verdana" w:cs="Arial"/>
          <w:bCs/>
          <w:sz w:val="20"/>
          <w:szCs w:val="20"/>
          <w:lang w:val="ru-RU"/>
        </w:rPr>
        <w:t>употреба на алкохол</w:t>
      </w:r>
      <w:r>
        <w:rPr>
          <w:rFonts w:ascii="Verdana" w:hAnsi="Verdana" w:cs="Arial"/>
          <w:bCs/>
          <w:sz w:val="20"/>
          <w:szCs w:val="20"/>
        </w:rPr>
        <w:t>,</w:t>
      </w:r>
      <w:r w:rsidRPr="00DA3B96">
        <w:rPr>
          <w:rFonts w:ascii="Verdana" w:hAnsi="Verdana" w:cs="Arial"/>
          <w:bCs/>
          <w:sz w:val="20"/>
          <w:szCs w:val="20"/>
          <w:lang w:val="ru-RU"/>
        </w:rPr>
        <w:t xml:space="preserve"> што доведуваат до четири клучни метабол</w:t>
      </w:r>
      <w:r>
        <w:rPr>
          <w:rFonts w:ascii="Verdana" w:hAnsi="Verdana" w:cs="Arial"/>
          <w:bCs/>
          <w:sz w:val="20"/>
          <w:szCs w:val="20"/>
          <w:lang w:val="ru-RU"/>
        </w:rPr>
        <w:t>ни</w:t>
      </w:r>
      <w:r w:rsidRPr="00DA3B96">
        <w:rPr>
          <w:rFonts w:ascii="Verdana" w:hAnsi="Verdana" w:cs="Arial"/>
          <w:bCs/>
          <w:sz w:val="20"/>
          <w:szCs w:val="20"/>
          <w:lang w:val="ru-RU"/>
        </w:rPr>
        <w:t>/физиолошки промени</w:t>
      </w:r>
      <w:r>
        <w:rPr>
          <w:rFonts w:ascii="Verdana" w:hAnsi="Verdana" w:cs="Arial"/>
          <w:bCs/>
          <w:sz w:val="20"/>
          <w:szCs w:val="20"/>
        </w:rPr>
        <w:t>:</w:t>
      </w:r>
      <w:r w:rsidRPr="00DA3B96">
        <w:rPr>
          <w:rFonts w:ascii="Verdana" w:hAnsi="Verdana" w:cs="Arial"/>
          <w:bCs/>
          <w:sz w:val="20"/>
          <w:szCs w:val="20"/>
          <w:lang w:val="ru-RU"/>
        </w:rPr>
        <w:t xml:space="preserve"> покачен крвен притисок, прекумерна тежина/дебелина, </w:t>
      </w:r>
      <w:r>
        <w:rPr>
          <w:rFonts w:ascii="Verdana" w:hAnsi="Verdana" w:cs="Arial"/>
          <w:bCs/>
          <w:sz w:val="20"/>
          <w:szCs w:val="20"/>
          <w:lang w:val="ru-RU"/>
        </w:rPr>
        <w:t>покачено</w:t>
      </w:r>
      <w:r w:rsidRPr="00DA3B96">
        <w:rPr>
          <w:rFonts w:ascii="Verdana" w:hAnsi="Verdana" w:cs="Arial"/>
          <w:bCs/>
          <w:sz w:val="20"/>
          <w:szCs w:val="20"/>
          <w:lang w:val="ru-RU"/>
        </w:rPr>
        <w:t xml:space="preserve"> </w:t>
      </w:r>
      <w:r>
        <w:rPr>
          <w:rFonts w:ascii="Verdana" w:hAnsi="Verdana" w:cs="Arial"/>
          <w:bCs/>
          <w:sz w:val="20"/>
          <w:szCs w:val="20"/>
          <w:lang w:val="ru-RU"/>
        </w:rPr>
        <w:t>ниво на шеќер</w:t>
      </w:r>
      <w:r w:rsidRPr="00DA3B96">
        <w:rPr>
          <w:rFonts w:ascii="Verdana" w:hAnsi="Verdana" w:cs="Arial"/>
          <w:bCs/>
          <w:sz w:val="20"/>
          <w:szCs w:val="20"/>
          <w:lang w:val="ru-RU"/>
        </w:rPr>
        <w:t xml:space="preserve"> во крвта и по</w:t>
      </w:r>
      <w:r>
        <w:rPr>
          <w:rFonts w:ascii="Verdana" w:hAnsi="Verdana" w:cs="Arial"/>
          <w:bCs/>
          <w:sz w:val="20"/>
          <w:szCs w:val="20"/>
          <w:lang w:val="ru-RU"/>
        </w:rPr>
        <w:t xml:space="preserve">качен </w:t>
      </w:r>
      <w:r w:rsidRPr="00DA3B96">
        <w:rPr>
          <w:rFonts w:ascii="Verdana" w:hAnsi="Verdana" w:cs="Arial"/>
          <w:bCs/>
          <w:sz w:val="20"/>
          <w:szCs w:val="20"/>
          <w:lang w:val="ru-RU"/>
        </w:rPr>
        <w:t>холестерол.</w:t>
      </w:r>
      <w:r w:rsidRPr="00DA3B96">
        <w:rPr>
          <w:rFonts w:ascii="Verdana" w:hAnsi="Verdana" w:cs="Arial"/>
          <w:sz w:val="20"/>
          <w:szCs w:val="20"/>
          <w:lang w:val="ru-RU"/>
        </w:rPr>
        <w:t xml:space="preserve"> </w:t>
      </w:r>
      <w:r w:rsidRPr="005E6B58">
        <w:rPr>
          <w:rFonts w:ascii="Verdana" w:hAnsi="Verdana" w:cs="Arial"/>
          <w:sz w:val="20"/>
          <w:szCs w:val="20"/>
          <w:lang w:val="ru-RU"/>
        </w:rPr>
        <w:t xml:space="preserve">Значителен број од смртните случаи се припишува на пушењето односно на тутунот, кој го зголемува ризикот од смрт од коронарна срцева болест и цереброваскуларна болест 2-3 пати. Ризикот се зголемува со возраста и е поголем кај жените отколку кај мажите. </w:t>
      </w:r>
    </w:p>
    <w:p w:rsidR="003929D5" w:rsidRDefault="003929D5" w:rsidP="00074590">
      <w:pPr>
        <w:jc w:val="both"/>
        <w:rPr>
          <w:rFonts w:ascii="Verdana" w:hAnsi="Verdana" w:cs="Arial"/>
          <w:b/>
          <w:bCs/>
        </w:rPr>
      </w:pPr>
    </w:p>
    <w:p w:rsidR="00074590" w:rsidRPr="005B31FD" w:rsidRDefault="00074590" w:rsidP="00074590">
      <w:pPr>
        <w:jc w:val="both"/>
        <w:rPr>
          <w:rFonts w:ascii="Verdana" w:hAnsi="Verdana" w:cs="Arial"/>
          <w:b/>
          <w:bCs/>
          <w:lang w:val="ru-RU"/>
        </w:rPr>
      </w:pPr>
      <w:r w:rsidRPr="005B31FD">
        <w:rPr>
          <w:rFonts w:ascii="Verdana" w:hAnsi="Verdana" w:cs="Arial"/>
          <w:b/>
          <w:bCs/>
          <w:lang w:val="ru-RU"/>
        </w:rPr>
        <w:t xml:space="preserve">СОСТОЈБА ВО РЕПУБЛИКА </w:t>
      </w:r>
      <w:r w:rsidR="00357F5E">
        <w:rPr>
          <w:rFonts w:ascii="Verdana" w:hAnsi="Verdana" w:cs="Arial"/>
          <w:b/>
          <w:bCs/>
          <w:lang w:val="mk-MK"/>
        </w:rPr>
        <w:t xml:space="preserve">СЕВЕРНА </w:t>
      </w:r>
      <w:r w:rsidRPr="005B31FD">
        <w:rPr>
          <w:rFonts w:ascii="Verdana" w:hAnsi="Verdana" w:cs="Arial"/>
          <w:b/>
          <w:bCs/>
          <w:lang w:val="ru-RU"/>
        </w:rPr>
        <w:t>МАКЕДОНИЈА</w:t>
      </w:r>
    </w:p>
    <w:p w:rsidR="00074590" w:rsidRDefault="00074590" w:rsidP="00074590">
      <w:pPr>
        <w:jc w:val="both"/>
        <w:rPr>
          <w:rFonts w:ascii="Verdana" w:hAnsi="Verdana" w:cs="Arial"/>
          <w:b/>
          <w:bCs/>
          <w:iCs/>
          <w:lang w:val="ru-RU"/>
        </w:rPr>
      </w:pPr>
    </w:p>
    <w:p w:rsidR="00074590" w:rsidRDefault="00074590" w:rsidP="00074590">
      <w:pPr>
        <w:jc w:val="both"/>
        <w:rPr>
          <w:rFonts w:ascii="Verdana" w:hAnsi="Verdana" w:cs="Arial"/>
          <w:b/>
          <w:bCs/>
          <w:iCs/>
          <w:lang w:val="ru-RU"/>
        </w:rPr>
      </w:pPr>
      <w:r w:rsidRPr="00E63A18">
        <w:rPr>
          <w:rFonts w:ascii="Verdana" w:hAnsi="Verdana" w:cs="Arial"/>
          <w:b/>
          <w:bCs/>
          <w:iCs/>
          <w:lang w:val="ru-RU"/>
        </w:rPr>
        <w:t>Морталитет</w:t>
      </w:r>
    </w:p>
    <w:p w:rsidR="00074590" w:rsidRPr="00E63A18" w:rsidRDefault="00074590" w:rsidP="00074590">
      <w:pPr>
        <w:jc w:val="both"/>
        <w:rPr>
          <w:rFonts w:ascii="Verdana" w:hAnsi="Verdana" w:cs="Arial"/>
          <w:b/>
          <w:bCs/>
          <w:iCs/>
          <w:lang w:val="ru-RU"/>
        </w:rPr>
      </w:pPr>
    </w:p>
    <w:p w:rsidR="00074590" w:rsidRPr="0079623C" w:rsidRDefault="00074590" w:rsidP="00074590">
      <w:pPr>
        <w:jc w:val="both"/>
        <w:rPr>
          <w:rFonts w:ascii="Verdana" w:hAnsi="Verdana" w:cs="Arial"/>
          <w:sz w:val="20"/>
          <w:szCs w:val="20"/>
          <w:lang w:val="ru-RU"/>
        </w:rPr>
      </w:pPr>
      <w:r>
        <w:rPr>
          <w:rFonts w:ascii="Verdana" w:hAnsi="Verdana" w:cs="Arial"/>
          <w:sz w:val="20"/>
          <w:szCs w:val="20"/>
          <w:lang w:val="ru-RU"/>
        </w:rPr>
        <w:t xml:space="preserve">Во Република </w:t>
      </w:r>
      <w:r w:rsidR="00357F5E">
        <w:rPr>
          <w:rFonts w:ascii="Verdana" w:hAnsi="Verdana" w:cs="Arial"/>
          <w:sz w:val="20"/>
          <w:szCs w:val="20"/>
          <w:lang w:val="ru-RU"/>
        </w:rPr>
        <w:t xml:space="preserve">Северна </w:t>
      </w:r>
      <w:r>
        <w:rPr>
          <w:rFonts w:ascii="Verdana" w:hAnsi="Verdana" w:cs="Arial"/>
          <w:sz w:val="20"/>
          <w:szCs w:val="20"/>
          <w:lang w:val="ru-RU"/>
        </w:rPr>
        <w:t>Македонија во 201</w:t>
      </w:r>
      <w:r w:rsidR="008E0D0F">
        <w:rPr>
          <w:rFonts w:ascii="Verdana" w:hAnsi="Verdana" w:cs="Arial"/>
          <w:sz w:val="20"/>
          <w:szCs w:val="20"/>
          <w:lang w:val="ru-RU"/>
        </w:rPr>
        <w:t>9</w:t>
      </w:r>
      <w:r w:rsidRPr="005E6B58">
        <w:rPr>
          <w:rFonts w:ascii="Verdana" w:hAnsi="Verdana" w:cs="Arial"/>
          <w:sz w:val="20"/>
          <w:szCs w:val="20"/>
          <w:lang w:val="ru-RU"/>
        </w:rPr>
        <w:t xml:space="preserve"> година од </w:t>
      </w:r>
      <w:r w:rsidRPr="005E6B58">
        <w:rPr>
          <w:rStyle w:val="Strong"/>
          <w:rFonts w:ascii="Verdana" w:hAnsi="Verdana" w:cs="Arial"/>
          <w:b w:val="0"/>
          <w:bCs w:val="0"/>
          <w:color w:val="333333"/>
          <w:sz w:val="20"/>
          <w:szCs w:val="20"/>
          <w:bdr w:val="none" w:sz="0" w:space="0" w:color="auto" w:frame="1"/>
          <w:shd w:val="clear" w:color="auto" w:fill="FFFFFF"/>
          <w:lang w:val="ru-RU"/>
        </w:rPr>
        <w:t>болести на циркулаторниот систем починале 1</w:t>
      </w:r>
      <w:r w:rsidR="00987E2B">
        <w:rPr>
          <w:rStyle w:val="Strong"/>
          <w:rFonts w:ascii="Verdana" w:hAnsi="Verdana" w:cs="Arial"/>
          <w:b w:val="0"/>
          <w:bCs w:val="0"/>
          <w:color w:val="333333"/>
          <w:sz w:val="20"/>
          <w:szCs w:val="20"/>
          <w:bdr w:val="none" w:sz="0" w:space="0" w:color="auto" w:frame="1"/>
          <w:shd w:val="clear" w:color="auto" w:fill="FFFFFF"/>
          <w:lang w:val="ru-RU"/>
        </w:rPr>
        <w:t>0</w:t>
      </w:r>
      <w:r w:rsidR="008E0D0F">
        <w:rPr>
          <w:rStyle w:val="Strong"/>
          <w:rFonts w:ascii="Verdana" w:hAnsi="Verdana" w:cs="Arial"/>
          <w:b w:val="0"/>
          <w:bCs w:val="0"/>
          <w:color w:val="333333"/>
          <w:sz w:val="20"/>
          <w:szCs w:val="20"/>
          <w:bdr w:val="none" w:sz="0" w:space="0" w:color="auto" w:frame="1"/>
          <w:shd w:val="clear" w:color="auto" w:fill="FFFFFF"/>
          <w:lang w:val="ru-RU"/>
        </w:rPr>
        <w:t>586</w:t>
      </w:r>
      <w:r w:rsidRPr="005E6B58">
        <w:rPr>
          <w:rStyle w:val="Strong"/>
          <w:rFonts w:ascii="Verdana" w:hAnsi="Verdana" w:cs="Arial"/>
          <w:b w:val="0"/>
          <w:bCs w:val="0"/>
          <w:color w:val="333333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лица со</w:t>
      </w:r>
      <w:r w:rsidRPr="005E6B58">
        <w:rPr>
          <w:rFonts w:ascii="Verdana" w:hAnsi="Verdana" w:cs="Arial"/>
          <w:color w:val="333333"/>
          <w:sz w:val="20"/>
          <w:szCs w:val="20"/>
          <w:shd w:val="clear" w:color="auto" w:fill="FFFFFF"/>
          <w:lang w:val="ru-RU"/>
        </w:rPr>
        <w:t xml:space="preserve"> стапка на смртност од</w:t>
      </w:r>
      <w:r w:rsidRPr="005E6B58">
        <w:rPr>
          <w:rStyle w:val="apple-converted-space"/>
          <w:rFonts w:ascii="Verdana" w:hAnsi="Verdana" w:cs="Arial"/>
          <w:color w:val="333333"/>
          <w:sz w:val="20"/>
          <w:szCs w:val="20"/>
          <w:shd w:val="clear" w:color="auto" w:fill="FFFFFF"/>
        </w:rPr>
        <w:t> </w:t>
      </w:r>
      <w:r>
        <w:rPr>
          <w:rStyle w:val="Strong"/>
          <w:rFonts w:ascii="Verdana" w:hAnsi="Verdana" w:cs="Arial"/>
          <w:b w:val="0"/>
          <w:bCs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5</w:t>
      </w:r>
      <w:r w:rsidR="008E0D0F">
        <w:rPr>
          <w:rStyle w:val="Strong"/>
          <w:rFonts w:ascii="Verdana" w:hAnsi="Verdana" w:cs="Arial"/>
          <w:b w:val="0"/>
          <w:bCs w:val="0"/>
          <w:color w:val="333333"/>
          <w:sz w:val="20"/>
          <w:szCs w:val="20"/>
          <w:bdr w:val="none" w:sz="0" w:space="0" w:color="auto" w:frame="1"/>
          <w:shd w:val="clear" w:color="auto" w:fill="FFFFFF"/>
          <w:lang w:val="mk-MK"/>
        </w:rPr>
        <w:t>09</w:t>
      </w:r>
      <w:r>
        <w:rPr>
          <w:rStyle w:val="Strong"/>
          <w:rFonts w:ascii="Verdana" w:hAnsi="Verdana" w:cs="Arial"/>
          <w:b w:val="0"/>
          <w:bCs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8E0D0F">
        <w:rPr>
          <w:rStyle w:val="Strong"/>
          <w:rFonts w:ascii="Verdana" w:hAnsi="Verdana" w:cs="Arial"/>
          <w:b w:val="0"/>
          <w:bCs w:val="0"/>
          <w:color w:val="333333"/>
          <w:sz w:val="20"/>
          <w:szCs w:val="20"/>
          <w:bdr w:val="none" w:sz="0" w:space="0" w:color="auto" w:frame="1"/>
          <w:shd w:val="clear" w:color="auto" w:fill="FFFFFF"/>
          <w:lang w:val="mk-MK"/>
        </w:rPr>
        <w:t>8</w:t>
      </w:r>
      <w:r w:rsidRPr="005E6B58">
        <w:rPr>
          <w:rStyle w:val="Strong"/>
          <w:rFonts w:ascii="Verdana" w:hAnsi="Verdana" w:cs="Arial"/>
          <w:b w:val="0"/>
          <w:bCs w:val="0"/>
          <w:color w:val="333333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на 100.000 жители,</w:t>
      </w:r>
      <w:r w:rsidRPr="005E6B58">
        <w:rPr>
          <w:rStyle w:val="apple-converted-space"/>
          <w:rFonts w:ascii="Verdana" w:hAnsi="Verdana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 w:cs="Arial"/>
          <w:color w:val="333333"/>
          <w:sz w:val="20"/>
          <w:szCs w:val="20"/>
          <w:shd w:val="clear" w:color="auto" w:fill="FFFFFF"/>
          <w:lang w:val="ru-RU"/>
        </w:rPr>
        <w:t>од кои 5</w:t>
      </w:r>
      <w:r w:rsidR="00987E2B">
        <w:rPr>
          <w:rFonts w:ascii="Verdana" w:hAnsi="Verdana" w:cs="Arial"/>
          <w:color w:val="333333"/>
          <w:sz w:val="20"/>
          <w:szCs w:val="20"/>
          <w:shd w:val="clear" w:color="auto" w:fill="FFFFFF"/>
          <w:lang w:val="ru-RU"/>
        </w:rPr>
        <w:t>1</w:t>
      </w:r>
      <w:r w:rsidR="008E0D0F">
        <w:rPr>
          <w:rFonts w:ascii="Verdana" w:hAnsi="Verdana" w:cs="Arial"/>
          <w:color w:val="333333"/>
          <w:sz w:val="20"/>
          <w:szCs w:val="20"/>
          <w:shd w:val="clear" w:color="auto" w:fill="FFFFFF"/>
          <w:lang w:val="ru-RU"/>
        </w:rPr>
        <w:t>66</w:t>
      </w:r>
      <w:r w:rsidRPr="005E6B58">
        <w:rPr>
          <w:rFonts w:ascii="Verdana" w:hAnsi="Verdana" w:cs="Arial"/>
          <w:color w:val="333333"/>
          <w:sz w:val="20"/>
          <w:szCs w:val="20"/>
          <w:shd w:val="clear" w:color="auto" w:fill="FFFFFF"/>
          <w:lang w:val="ru-RU"/>
        </w:rPr>
        <w:t xml:space="preserve"> се мажи, а </w:t>
      </w:r>
      <w:r>
        <w:rPr>
          <w:rFonts w:ascii="Verdana" w:hAnsi="Verdana" w:cs="Arial"/>
          <w:color w:val="333333"/>
          <w:sz w:val="20"/>
          <w:szCs w:val="20"/>
          <w:shd w:val="clear" w:color="auto" w:fill="FFFFFF"/>
        </w:rPr>
        <w:t>5</w:t>
      </w:r>
      <w:r w:rsidR="0079623C">
        <w:rPr>
          <w:rFonts w:ascii="Verdana" w:hAnsi="Verdana" w:cs="Arial"/>
          <w:color w:val="333333"/>
          <w:sz w:val="20"/>
          <w:szCs w:val="20"/>
          <w:shd w:val="clear" w:color="auto" w:fill="FFFFFF"/>
          <w:lang w:val="mk-MK"/>
        </w:rPr>
        <w:t>4</w:t>
      </w:r>
      <w:r w:rsidR="008E0D0F">
        <w:rPr>
          <w:rFonts w:ascii="Verdana" w:hAnsi="Verdana" w:cs="Arial"/>
          <w:color w:val="333333"/>
          <w:sz w:val="20"/>
          <w:szCs w:val="20"/>
          <w:shd w:val="clear" w:color="auto" w:fill="FFFFFF"/>
          <w:lang w:val="mk-MK"/>
        </w:rPr>
        <w:t>20</w:t>
      </w:r>
      <w:r w:rsidRPr="005E6B58">
        <w:rPr>
          <w:rFonts w:ascii="Verdana" w:hAnsi="Verdana" w:cs="Arial"/>
          <w:color w:val="333333"/>
          <w:sz w:val="20"/>
          <w:szCs w:val="20"/>
          <w:shd w:val="clear" w:color="auto" w:fill="FFFFFF"/>
          <w:lang w:val="ru-RU"/>
        </w:rPr>
        <w:t xml:space="preserve"> се жени</w:t>
      </w:r>
      <w:r w:rsidRPr="005E6B58">
        <w:rPr>
          <w:rFonts w:ascii="Verdana" w:hAnsi="Verdana" w:cs="Arial"/>
          <w:b/>
          <w:bCs/>
          <w:color w:val="333333"/>
          <w:sz w:val="20"/>
          <w:szCs w:val="20"/>
          <w:shd w:val="clear" w:color="auto" w:fill="FFFFFF"/>
          <w:lang w:val="ru-RU"/>
        </w:rPr>
        <w:t>.</w:t>
      </w:r>
      <w:r w:rsidRPr="00917425">
        <w:rPr>
          <w:rFonts w:ascii="Verdana" w:hAnsi="Verdana" w:cs="Arial"/>
          <w:sz w:val="20"/>
          <w:szCs w:val="20"/>
          <w:lang w:val="ru-RU"/>
        </w:rPr>
        <w:t xml:space="preserve"> </w:t>
      </w:r>
      <w:r>
        <w:rPr>
          <w:rFonts w:ascii="Verdana" w:hAnsi="Verdana" w:cs="Arial"/>
          <w:sz w:val="20"/>
          <w:szCs w:val="20"/>
          <w:lang w:val="ru-RU"/>
        </w:rPr>
        <w:t>Б</w:t>
      </w:r>
      <w:r w:rsidRPr="005E6B58">
        <w:rPr>
          <w:rFonts w:ascii="Verdana" w:hAnsi="Verdana" w:cs="Arial"/>
          <w:sz w:val="20"/>
          <w:szCs w:val="20"/>
          <w:lang w:val="ru-RU"/>
        </w:rPr>
        <w:t>олести</w:t>
      </w:r>
      <w:r>
        <w:rPr>
          <w:rFonts w:ascii="Verdana" w:hAnsi="Verdana" w:cs="Arial"/>
          <w:sz w:val="20"/>
          <w:szCs w:val="20"/>
          <w:lang w:val="ru-RU"/>
        </w:rPr>
        <w:t>те</w:t>
      </w:r>
      <w:r w:rsidRPr="005E6B58">
        <w:rPr>
          <w:rFonts w:ascii="Verdana" w:hAnsi="Verdana" w:cs="Arial"/>
          <w:sz w:val="20"/>
          <w:szCs w:val="20"/>
          <w:lang w:val="ru-RU"/>
        </w:rPr>
        <w:t xml:space="preserve"> на циркулаторниот систем учествуваат со </w:t>
      </w:r>
      <w:r>
        <w:rPr>
          <w:rFonts w:ascii="Verdana" w:hAnsi="Verdana" w:cs="Arial"/>
          <w:sz w:val="20"/>
          <w:szCs w:val="20"/>
          <w:lang w:val="ru-RU"/>
        </w:rPr>
        <w:t>5</w:t>
      </w:r>
      <w:r w:rsidR="00A13578">
        <w:rPr>
          <w:rFonts w:ascii="Verdana" w:hAnsi="Verdana" w:cs="Arial"/>
          <w:sz w:val="20"/>
          <w:szCs w:val="20"/>
          <w:lang w:val="ru-RU"/>
        </w:rPr>
        <w:t>1</w:t>
      </w:r>
      <w:r>
        <w:rPr>
          <w:rFonts w:ascii="Verdana" w:hAnsi="Verdana" w:cs="Arial"/>
          <w:sz w:val="20"/>
          <w:szCs w:val="20"/>
          <w:lang w:val="ru-RU"/>
        </w:rPr>
        <w:t>,</w:t>
      </w:r>
      <w:r w:rsidR="00A13578">
        <w:rPr>
          <w:rFonts w:ascii="Verdana" w:hAnsi="Verdana" w:cs="Arial"/>
          <w:sz w:val="20"/>
          <w:szCs w:val="20"/>
          <w:lang w:val="ru-RU"/>
        </w:rPr>
        <w:t>8</w:t>
      </w:r>
      <w:r w:rsidRPr="005E6B58">
        <w:rPr>
          <w:rFonts w:ascii="Verdana" w:hAnsi="Verdana" w:cs="Arial"/>
          <w:sz w:val="20"/>
          <w:szCs w:val="20"/>
          <w:lang w:val="ru-RU"/>
        </w:rPr>
        <w:t xml:space="preserve">% во вкупниот </w:t>
      </w:r>
      <w:r>
        <w:rPr>
          <w:rFonts w:ascii="Verdana" w:hAnsi="Verdana" w:cs="Arial"/>
          <w:sz w:val="20"/>
          <w:szCs w:val="20"/>
          <w:lang w:val="ru-RU"/>
        </w:rPr>
        <w:t>морталитет</w:t>
      </w:r>
      <w:r w:rsidRPr="005E6B58">
        <w:rPr>
          <w:rFonts w:ascii="Verdana" w:hAnsi="Verdana" w:cs="Arial"/>
          <w:sz w:val="20"/>
          <w:szCs w:val="20"/>
          <w:lang w:val="ru-RU"/>
        </w:rPr>
        <w:t xml:space="preserve"> и се на </w:t>
      </w:r>
      <w:r>
        <w:rPr>
          <w:rFonts w:ascii="Verdana" w:hAnsi="Verdana" w:cs="Arial"/>
          <w:sz w:val="20"/>
          <w:szCs w:val="20"/>
          <w:lang w:val="ru-RU"/>
        </w:rPr>
        <w:t>прво</w:t>
      </w:r>
      <w:r w:rsidRPr="005E6B58">
        <w:rPr>
          <w:rFonts w:ascii="Verdana" w:hAnsi="Verdana" w:cs="Arial"/>
          <w:sz w:val="20"/>
          <w:szCs w:val="20"/>
          <w:lang w:val="ru-RU"/>
        </w:rPr>
        <w:t xml:space="preserve"> место во структурата на </w:t>
      </w:r>
      <w:r>
        <w:rPr>
          <w:rFonts w:ascii="Verdana" w:hAnsi="Verdana" w:cs="Arial"/>
          <w:sz w:val="20"/>
          <w:szCs w:val="20"/>
          <w:lang w:val="ru-RU"/>
        </w:rPr>
        <w:t>причини за смрт.</w:t>
      </w:r>
    </w:p>
    <w:p w:rsidR="0079623C" w:rsidRDefault="00074590" w:rsidP="00074590">
      <w:pPr>
        <w:jc w:val="both"/>
        <w:rPr>
          <w:rFonts w:ascii="Verdana" w:hAnsi="Verdana" w:cs="Arial"/>
          <w:b/>
          <w:bCs/>
          <w:sz w:val="20"/>
          <w:szCs w:val="20"/>
          <w:lang w:val="ru-RU"/>
        </w:rPr>
      </w:pPr>
      <w:r w:rsidRPr="00864E0C">
        <w:rPr>
          <w:rFonts w:ascii="Verdana" w:eastAsia="Times New Roman" w:hAnsi="Verdana" w:cs="Times New Roman"/>
          <w:b/>
          <w:color w:val="000000"/>
          <w:sz w:val="20"/>
          <w:szCs w:val="20"/>
          <w:lang w:val="mk-MK"/>
        </w:rPr>
        <w:t>Дијаграм</w:t>
      </w:r>
      <w:r w:rsidRPr="00E63A18">
        <w:rPr>
          <w:rFonts w:ascii="Verdana" w:hAnsi="Verdana" w:cs="Arial"/>
          <w:b/>
          <w:bCs/>
          <w:sz w:val="20"/>
          <w:szCs w:val="20"/>
          <w:lang w:val="ru-RU"/>
        </w:rPr>
        <w:t xml:space="preserve"> 1. Структура според причини на смрт во </w:t>
      </w:r>
    </w:p>
    <w:p w:rsidR="00074590" w:rsidRDefault="0079623C" w:rsidP="00074590">
      <w:pPr>
        <w:jc w:val="both"/>
        <w:rPr>
          <w:rFonts w:ascii="Verdana" w:hAnsi="Verdana" w:cs="Arial"/>
          <w:b/>
          <w:bCs/>
          <w:sz w:val="20"/>
          <w:szCs w:val="20"/>
          <w:lang w:val="ru-RU"/>
        </w:rPr>
      </w:pPr>
      <w:r>
        <w:rPr>
          <w:rFonts w:ascii="Verdana" w:hAnsi="Verdana" w:cs="Arial"/>
          <w:b/>
          <w:bCs/>
          <w:sz w:val="20"/>
          <w:szCs w:val="20"/>
          <w:lang w:val="ru-RU"/>
        </w:rPr>
        <w:t xml:space="preserve">                     </w:t>
      </w:r>
      <w:r w:rsidR="00074590" w:rsidRPr="00E63A18">
        <w:rPr>
          <w:rFonts w:ascii="Verdana" w:hAnsi="Verdana" w:cs="Arial"/>
          <w:b/>
          <w:bCs/>
          <w:sz w:val="20"/>
          <w:szCs w:val="20"/>
          <w:lang w:val="ru-RU"/>
        </w:rPr>
        <w:t xml:space="preserve">Република </w:t>
      </w:r>
      <w:r>
        <w:rPr>
          <w:rFonts w:ascii="Verdana" w:hAnsi="Verdana" w:cs="Arial"/>
          <w:b/>
          <w:bCs/>
          <w:sz w:val="20"/>
          <w:szCs w:val="20"/>
          <w:lang w:val="ru-RU"/>
        </w:rPr>
        <w:t xml:space="preserve">Северна </w:t>
      </w:r>
      <w:r w:rsidR="00074590" w:rsidRPr="00E63A18">
        <w:rPr>
          <w:rFonts w:ascii="Verdana" w:hAnsi="Verdana" w:cs="Arial"/>
          <w:b/>
          <w:bCs/>
          <w:sz w:val="20"/>
          <w:szCs w:val="20"/>
          <w:lang w:val="ru-RU"/>
        </w:rPr>
        <w:t>Македонија во</w:t>
      </w:r>
      <w:r>
        <w:rPr>
          <w:rFonts w:ascii="Verdana" w:hAnsi="Verdana" w:cs="Arial"/>
          <w:b/>
          <w:bCs/>
          <w:sz w:val="20"/>
          <w:szCs w:val="20"/>
          <w:lang w:val="ru-RU"/>
        </w:rPr>
        <w:t xml:space="preserve"> </w:t>
      </w:r>
      <w:r w:rsidR="00074590" w:rsidRPr="00E63A18">
        <w:rPr>
          <w:rFonts w:ascii="Verdana" w:hAnsi="Verdana" w:cs="Arial"/>
          <w:b/>
          <w:bCs/>
          <w:sz w:val="20"/>
          <w:szCs w:val="20"/>
          <w:lang w:val="ru-RU"/>
        </w:rPr>
        <w:t>201</w:t>
      </w:r>
      <w:r w:rsidR="00A13578">
        <w:rPr>
          <w:rFonts w:ascii="Verdana" w:hAnsi="Verdana" w:cs="Arial"/>
          <w:b/>
          <w:bCs/>
          <w:sz w:val="20"/>
          <w:szCs w:val="20"/>
          <w:lang w:val="ru-RU"/>
        </w:rPr>
        <w:t>9</w:t>
      </w:r>
      <w:r w:rsidR="00074590" w:rsidRPr="00E63A18">
        <w:rPr>
          <w:rFonts w:ascii="Verdana" w:hAnsi="Verdana" w:cs="Arial"/>
          <w:b/>
          <w:bCs/>
          <w:sz w:val="20"/>
          <w:szCs w:val="20"/>
          <w:lang w:val="ru-RU"/>
        </w:rPr>
        <w:t xml:space="preserve"> година</w:t>
      </w:r>
    </w:p>
    <w:p w:rsidR="00074590" w:rsidRPr="00E804D1" w:rsidRDefault="00A13578" w:rsidP="00074590">
      <w:pPr>
        <w:jc w:val="both"/>
        <w:rPr>
          <w:rFonts w:ascii="Verdana" w:hAnsi="Verdana" w:cs="Arial"/>
          <w:b/>
          <w:bCs/>
          <w:sz w:val="20"/>
          <w:szCs w:val="20"/>
          <w:lang w:val="ru-RU"/>
        </w:rPr>
      </w:pPr>
      <w:r w:rsidRPr="00A13578">
        <w:rPr>
          <w:rFonts w:ascii="Verdana" w:hAnsi="Verdana" w:cs="Arial"/>
          <w:b/>
          <w:bCs/>
          <w:noProof/>
          <w:sz w:val="20"/>
          <w:szCs w:val="20"/>
          <w:lang w:val="mk-MK" w:eastAsia="mk-MK"/>
        </w:rPr>
        <w:drawing>
          <wp:inline distT="0" distB="0" distL="0" distR="0">
            <wp:extent cx="5876925" cy="2800350"/>
            <wp:effectExtent l="57150" t="19050" r="66675" b="5715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74590" w:rsidRDefault="00074590" w:rsidP="00074590">
      <w:pPr>
        <w:jc w:val="both"/>
        <w:rPr>
          <w:rFonts w:ascii="Verdana" w:hAnsi="Verdana"/>
          <w:noProof/>
          <w:sz w:val="18"/>
          <w:szCs w:val="18"/>
          <w:lang w:val="ru-RU"/>
        </w:rPr>
      </w:pPr>
      <w:r>
        <w:rPr>
          <w:rFonts w:ascii="Verdana" w:hAnsi="Verdana" w:cs="Arial"/>
          <w:i/>
          <w:iCs/>
          <w:sz w:val="18"/>
          <w:szCs w:val="18"/>
          <w:lang w:val="ru-RU"/>
        </w:rPr>
        <w:t xml:space="preserve">       </w:t>
      </w:r>
      <w:r w:rsidRPr="005E6B58">
        <w:rPr>
          <w:rFonts w:ascii="Verdana" w:hAnsi="Verdana" w:cs="Arial"/>
          <w:i/>
          <w:iCs/>
          <w:sz w:val="18"/>
          <w:szCs w:val="18"/>
          <w:lang w:val="ru-RU"/>
        </w:rPr>
        <w:t>Извор: Државен завод за статистика,</w:t>
      </w:r>
      <w:r>
        <w:rPr>
          <w:rFonts w:ascii="Verdana" w:hAnsi="Verdana" w:cs="Arial"/>
          <w:i/>
          <w:iCs/>
          <w:sz w:val="18"/>
          <w:szCs w:val="18"/>
          <w:lang w:val="ru-RU"/>
        </w:rPr>
        <w:t xml:space="preserve"> </w:t>
      </w:r>
      <w:r w:rsidRPr="005E6B58">
        <w:rPr>
          <w:rFonts w:ascii="Verdana" w:hAnsi="Verdana" w:cs="Arial"/>
          <w:i/>
          <w:iCs/>
          <w:sz w:val="18"/>
          <w:szCs w:val="18"/>
          <w:lang w:val="ru-RU"/>
        </w:rPr>
        <w:t>201</w:t>
      </w:r>
      <w:r w:rsidR="00A13578">
        <w:rPr>
          <w:rFonts w:ascii="Verdana" w:hAnsi="Verdana" w:cs="Arial"/>
          <w:i/>
          <w:iCs/>
          <w:sz w:val="18"/>
          <w:szCs w:val="18"/>
          <w:lang w:val="ru-RU"/>
        </w:rPr>
        <w:t>9</w:t>
      </w:r>
      <w:r w:rsidRPr="005E6B58">
        <w:rPr>
          <w:rFonts w:ascii="Verdana" w:hAnsi="Verdana" w:cs="Arial"/>
          <w:i/>
          <w:iCs/>
          <w:sz w:val="18"/>
          <w:szCs w:val="18"/>
          <w:lang w:val="ru-RU"/>
        </w:rPr>
        <w:t xml:space="preserve"> година</w:t>
      </w:r>
      <w:r w:rsidRPr="005E6B58">
        <w:rPr>
          <w:rFonts w:ascii="Verdana" w:hAnsi="Verdana"/>
          <w:noProof/>
          <w:sz w:val="18"/>
          <w:szCs w:val="18"/>
          <w:lang w:val="ru-RU"/>
        </w:rPr>
        <w:t xml:space="preserve"> </w:t>
      </w:r>
    </w:p>
    <w:p w:rsidR="00074590" w:rsidRPr="000C1E96" w:rsidRDefault="00074590" w:rsidP="00074590">
      <w:pPr>
        <w:jc w:val="both"/>
        <w:rPr>
          <w:rFonts w:ascii="Verdana" w:hAnsi="Verdana"/>
          <w:noProof/>
          <w:sz w:val="20"/>
          <w:szCs w:val="20"/>
          <w:lang w:val="ru-RU"/>
        </w:rPr>
      </w:pPr>
      <w:r w:rsidRPr="000C1E96">
        <w:rPr>
          <w:rFonts w:ascii="Verdana" w:hAnsi="Verdana"/>
          <w:noProof/>
          <w:sz w:val="20"/>
          <w:szCs w:val="20"/>
          <w:lang w:val="ru-RU"/>
        </w:rPr>
        <w:lastRenderedPageBreak/>
        <w:t>Стапката на морталитет од циркулаторни заболувања во вкупното население во Р.</w:t>
      </w:r>
      <w:r w:rsidR="00D67629">
        <w:rPr>
          <w:rFonts w:ascii="Verdana" w:hAnsi="Verdana"/>
          <w:noProof/>
          <w:sz w:val="20"/>
          <w:szCs w:val="20"/>
          <w:lang w:val="ru-RU"/>
        </w:rPr>
        <w:t>С.</w:t>
      </w:r>
      <w:r w:rsidRPr="000C1E96">
        <w:rPr>
          <w:rFonts w:ascii="Verdana" w:hAnsi="Verdana"/>
          <w:noProof/>
          <w:sz w:val="20"/>
          <w:szCs w:val="20"/>
          <w:lang w:val="ru-RU"/>
        </w:rPr>
        <w:t>Македонија во периодот 2010-201</w:t>
      </w:r>
      <w:r w:rsidR="00A13578">
        <w:rPr>
          <w:rFonts w:ascii="Verdana" w:hAnsi="Verdana"/>
          <w:noProof/>
          <w:sz w:val="20"/>
          <w:szCs w:val="20"/>
          <w:lang w:val="ru-RU"/>
        </w:rPr>
        <w:t>9</w:t>
      </w:r>
      <w:r w:rsidRPr="000C1E96">
        <w:rPr>
          <w:rFonts w:ascii="Verdana" w:hAnsi="Verdana"/>
          <w:noProof/>
          <w:sz w:val="20"/>
          <w:szCs w:val="20"/>
          <w:lang w:val="ru-RU"/>
        </w:rPr>
        <w:t xml:space="preserve"> </w:t>
      </w:r>
      <w:r>
        <w:rPr>
          <w:rFonts w:ascii="Verdana" w:hAnsi="Verdana"/>
          <w:noProof/>
          <w:sz w:val="20"/>
          <w:szCs w:val="20"/>
          <w:lang w:val="ru-RU"/>
        </w:rPr>
        <w:t>осцилира</w:t>
      </w:r>
      <w:r w:rsidRPr="003E34ED">
        <w:rPr>
          <w:rFonts w:ascii="Verdana" w:hAnsi="Verdana"/>
          <w:noProof/>
          <w:sz w:val="20"/>
          <w:szCs w:val="20"/>
          <w:lang w:val="ru-RU"/>
        </w:rPr>
        <w:t>.</w:t>
      </w:r>
      <w:r>
        <w:rPr>
          <w:rFonts w:ascii="Verdana" w:hAnsi="Verdana"/>
          <w:noProof/>
          <w:sz w:val="20"/>
          <w:szCs w:val="20"/>
          <w:lang w:val="ru-RU"/>
        </w:rPr>
        <w:t xml:space="preserve"> Во 2010 година стапката на морталитет изнесувала 538,6, а во 201</w:t>
      </w:r>
      <w:r w:rsidR="00A13578">
        <w:rPr>
          <w:rFonts w:ascii="Verdana" w:hAnsi="Verdana"/>
          <w:noProof/>
          <w:sz w:val="20"/>
          <w:szCs w:val="20"/>
          <w:lang w:val="ru-RU"/>
        </w:rPr>
        <w:t>9</w:t>
      </w:r>
      <w:r>
        <w:rPr>
          <w:rFonts w:ascii="Verdana" w:hAnsi="Verdana"/>
          <w:noProof/>
          <w:sz w:val="20"/>
          <w:szCs w:val="20"/>
          <w:lang w:val="ru-RU"/>
        </w:rPr>
        <w:t xml:space="preserve"> година </w:t>
      </w:r>
      <w:r>
        <w:rPr>
          <w:rStyle w:val="Strong"/>
          <w:rFonts w:ascii="Verdana" w:hAnsi="Verdana" w:cs="Arial"/>
          <w:b w:val="0"/>
          <w:bCs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5</w:t>
      </w:r>
      <w:r w:rsidR="00A13578">
        <w:rPr>
          <w:rStyle w:val="Strong"/>
          <w:rFonts w:ascii="Verdana" w:hAnsi="Verdana" w:cs="Arial"/>
          <w:b w:val="0"/>
          <w:bCs w:val="0"/>
          <w:color w:val="333333"/>
          <w:sz w:val="20"/>
          <w:szCs w:val="20"/>
          <w:bdr w:val="none" w:sz="0" w:space="0" w:color="auto" w:frame="1"/>
          <w:shd w:val="clear" w:color="auto" w:fill="FFFFFF"/>
          <w:lang w:val="mk-MK"/>
        </w:rPr>
        <w:t>09</w:t>
      </w:r>
      <w:r>
        <w:rPr>
          <w:rStyle w:val="Strong"/>
          <w:rFonts w:ascii="Verdana" w:hAnsi="Verdana" w:cs="Arial"/>
          <w:b w:val="0"/>
          <w:bCs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A13578">
        <w:rPr>
          <w:rStyle w:val="Strong"/>
          <w:rFonts w:ascii="Verdana" w:hAnsi="Verdana" w:cs="Arial"/>
          <w:b w:val="0"/>
          <w:bCs w:val="0"/>
          <w:color w:val="333333"/>
          <w:sz w:val="20"/>
          <w:szCs w:val="20"/>
          <w:bdr w:val="none" w:sz="0" w:space="0" w:color="auto" w:frame="1"/>
          <w:shd w:val="clear" w:color="auto" w:fill="FFFFFF"/>
          <w:lang w:val="mk-MK"/>
        </w:rPr>
        <w:t>8</w:t>
      </w:r>
      <w:r w:rsidRPr="005E6B58">
        <w:rPr>
          <w:rStyle w:val="Strong"/>
          <w:rFonts w:ascii="Verdana" w:hAnsi="Verdana" w:cs="Arial"/>
          <w:b w:val="0"/>
          <w:bCs w:val="0"/>
          <w:color w:val="333333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>
        <w:rPr>
          <w:rFonts w:ascii="Verdana" w:hAnsi="Verdana"/>
          <w:noProof/>
          <w:sz w:val="20"/>
          <w:szCs w:val="20"/>
          <w:lang w:val="ru-RU"/>
        </w:rPr>
        <w:t>на 100000 население.</w:t>
      </w:r>
    </w:p>
    <w:p w:rsidR="00074590" w:rsidRDefault="00074590" w:rsidP="00074590">
      <w:pPr>
        <w:jc w:val="both"/>
        <w:rPr>
          <w:rFonts w:ascii="Verdana" w:hAnsi="Verdana"/>
          <w:noProof/>
          <w:sz w:val="18"/>
          <w:szCs w:val="18"/>
          <w:lang w:val="mk-MK"/>
        </w:rPr>
      </w:pPr>
    </w:p>
    <w:p w:rsidR="00074590" w:rsidRPr="007A24DA" w:rsidRDefault="00074590" w:rsidP="00074590">
      <w:pPr>
        <w:jc w:val="both"/>
        <w:rPr>
          <w:rFonts w:ascii="Verdana" w:hAnsi="Verdana"/>
          <w:noProof/>
          <w:sz w:val="18"/>
          <w:szCs w:val="18"/>
          <w:lang w:val="mk-MK"/>
        </w:rPr>
      </w:pPr>
    </w:p>
    <w:p w:rsidR="00074590" w:rsidRDefault="00074590" w:rsidP="00074590">
      <w:pPr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val="mk-MK"/>
        </w:rPr>
      </w:pPr>
      <w:r w:rsidRPr="00864E0C">
        <w:rPr>
          <w:rFonts w:ascii="Verdana" w:eastAsia="Times New Roman" w:hAnsi="Verdana" w:cs="Times New Roman"/>
          <w:b/>
          <w:color w:val="000000"/>
          <w:sz w:val="20"/>
          <w:szCs w:val="20"/>
          <w:lang w:val="mk-MK"/>
        </w:rPr>
        <w:t xml:space="preserve">Дијаграм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val="mk-MK"/>
        </w:rPr>
        <w:t>2</w:t>
      </w:r>
      <w:r w:rsidRPr="00864E0C">
        <w:rPr>
          <w:rFonts w:ascii="Verdana" w:eastAsia="Times New Roman" w:hAnsi="Verdana" w:cs="Times New Roman"/>
          <w:b/>
          <w:color w:val="000000"/>
          <w:sz w:val="20"/>
          <w:szCs w:val="20"/>
          <w:lang w:val="mk-MK"/>
        </w:rPr>
        <w:t xml:space="preserve">: </w:t>
      </w:r>
      <w:proofErr w:type="spellStart"/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>Морталитет</w:t>
      </w:r>
      <w:proofErr w:type="spellEnd"/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>од</w:t>
      </w:r>
      <w:proofErr w:type="spellEnd"/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proofErr w:type="spellStart"/>
      <w:r w:rsidRPr="00864E0C">
        <w:rPr>
          <w:rFonts w:ascii="Verdana" w:eastAsia="Times New Roman" w:hAnsi="Verdana" w:cs="Times New Roman"/>
          <w:b/>
          <w:color w:val="000000"/>
          <w:sz w:val="20"/>
          <w:szCs w:val="20"/>
        </w:rPr>
        <w:t>циркулаторни</w:t>
      </w:r>
      <w:proofErr w:type="spellEnd"/>
      <w:r w:rsidRPr="00864E0C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proofErr w:type="spellStart"/>
      <w:r w:rsidRPr="00864E0C">
        <w:rPr>
          <w:rFonts w:ascii="Verdana" w:eastAsia="Times New Roman" w:hAnsi="Verdana" w:cs="Times New Roman"/>
          <w:b/>
          <w:color w:val="000000"/>
          <w:sz w:val="20"/>
          <w:szCs w:val="20"/>
        </w:rPr>
        <w:t>заболувања</w:t>
      </w:r>
      <w:proofErr w:type="spellEnd"/>
      <w:r w:rsidRPr="00864E0C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proofErr w:type="spellStart"/>
      <w:r w:rsidRPr="00864E0C">
        <w:rPr>
          <w:rFonts w:ascii="Verdana" w:eastAsia="Times New Roman" w:hAnsi="Verdana" w:cs="Times New Roman"/>
          <w:b/>
          <w:color w:val="000000"/>
          <w:sz w:val="20"/>
          <w:szCs w:val="20"/>
        </w:rPr>
        <w:t>во</w:t>
      </w:r>
      <w:proofErr w:type="spellEnd"/>
      <w:r w:rsidRPr="00864E0C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Р.</w:t>
      </w:r>
      <w:r w:rsidR="0096393C">
        <w:rPr>
          <w:rFonts w:ascii="Verdana" w:eastAsia="Times New Roman" w:hAnsi="Verdana" w:cs="Times New Roman"/>
          <w:b/>
          <w:color w:val="000000"/>
          <w:sz w:val="20"/>
          <w:szCs w:val="20"/>
          <w:lang w:val="mk-MK"/>
        </w:rPr>
        <w:t>С.</w:t>
      </w:r>
      <w:proofErr w:type="spellStart"/>
      <w:r w:rsidRPr="00864E0C">
        <w:rPr>
          <w:rFonts w:ascii="Verdana" w:eastAsia="Times New Roman" w:hAnsi="Verdana" w:cs="Times New Roman"/>
          <w:b/>
          <w:color w:val="000000"/>
          <w:sz w:val="20"/>
          <w:szCs w:val="20"/>
        </w:rPr>
        <w:t>Македонија</w:t>
      </w:r>
      <w:proofErr w:type="spellEnd"/>
      <w:r w:rsidRPr="00864E0C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, </w:t>
      </w:r>
    </w:p>
    <w:p w:rsidR="00074590" w:rsidRPr="00864E0C" w:rsidRDefault="00074590" w:rsidP="00074590">
      <w:pPr>
        <w:jc w:val="both"/>
        <w:rPr>
          <w:rFonts w:ascii="Verdana" w:hAnsi="Verdana"/>
          <w:b/>
          <w:noProof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val="mk-MK"/>
        </w:rPr>
        <w:t xml:space="preserve">                     </w:t>
      </w:r>
      <w:r w:rsidRPr="00864E0C">
        <w:rPr>
          <w:rFonts w:ascii="Verdana" w:eastAsia="Times New Roman" w:hAnsi="Verdana" w:cs="Times New Roman"/>
          <w:b/>
          <w:color w:val="000000"/>
          <w:sz w:val="20"/>
          <w:szCs w:val="20"/>
        </w:rPr>
        <w:t>2010-201</w:t>
      </w:r>
      <w:r w:rsidR="00A13578">
        <w:rPr>
          <w:rFonts w:ascii="Verdana" w:eastAsia="Times New Roman" w:hAnsi="Verdana" w:cs="Times New Roman"/>
          <w:b/>
          <w:color w:val="000000"/>
          <w:sz w:val="20"/>
          <w:szCs w:val="20"/>
          <w:lang w:val="mk-MK"/>
        </w:rPr>
        <w:t>9</w:t>
      </w:r>
      <w:r w:rsidRPr="00864E0C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proofErr w:type="spellStart"/>
      <w:r w:rsidRPr="00864E0C">
        <w:rPr>
          <w:rFonts w:ascii="Verdana" w:eastAsia="Times New Roman" w:hAnsi="Verdana" w:cs="Times New Roman"/>
          <w:b/>
          <w:color w:val="000000"/>
          <w:sz w:val="20"/>
          <w:szCs w:val="20"/>
        </w:rPr>
        <w:t>година</w:t>
      </w:r>
      <w:proofErr w:type="spellEnd"/>
    </w:p>
    <w:p w:rsidR="00074590" w:rsidRPr="00E3332A" w:rsidRDefault="00074590" w:rsidP="00074590">
      <w:pPr>
        <w:jc w:val="both"/>
        <w:rPr>
          <w:rFonts w:ascii="Verdana" w:hAnsi="Verdana" w:cs="Times New Roman"/>
          <w:noProof/>
          <w:sz w:val="18"/>
          <w:szCs w:val="18"/>
        </w:rPr>
      </w:pPr>
    </w:p>
    <w:p w:rsidR="00074590" w:rsidRDefault="00A13578" w:rsidP="00074590">
      <w:pPr>
        <w:jc w:val="both"/>
        <w:rPr>
          <w:rFonts w:ascii="Verdana" w:hAnsi="Verdana" w:cs="Arial"/>
        </w:rPr>
      </w:pPr>
      <w:r w:rsidRPr="00A13578">
        <w:rPr>
          <w:rFonts w:ascii="Verdana" w:hAnsi="Verdana" w:cs="Arial"/>
          <w:noProof/>
          <w:lang w:val="mk-MK" w:eastAsia="mk-MK"/>
        </w:rPr>
        <w:drawing>
          <wp:inline distT="0" distB="0" distL="0" distR="0">
            <wp:extent cx="5943600" cy="2498725"/>
            <wp:effectExtent l="57150" t="19050" r="76200" b="53975"/>
            <wp:docPr id="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74590" w:rsidRPr="00F331E4" w:rsidRDefault="00074590" w:rsidP="00074590">
      <w:pPr>
        <w:jc w:val="both"/>
        <w:rPr>
          <w:rFonts w:ascii="Verdana" w:hAnsi="Verdana" w:cs="Arial"/>
          <w:lang w:val="mk-MK"/>
        </w:rPr>
      </w:pPr>
    </w:p>
    <w:p w:rsidR="00074590" w:rsidRPr="00864E0C" w:rsidRDefault="00074590" w:rsidP="00074590">
      <w:pPr>
        <w:jc w:val="both"/>
        <w:rPr>
          <w:rFonts w:ascii="Verdana" w:hAnsi="Verdana"/>
          <w:sz w:val="20"/>
          <w:szCs w:val="20"/>
          <w:lang w:val="mk-MK"/>
        </w:rPr>
      </w:pPr>
      <w:r>
        <w:rPr>
          <w:rFonts w:ascii="Verdana" w:hAnsi="Verdana"/>
          <w:sz w:val="20"/>
          <w:szCs w:val="20"/>
          <w:lang w:val="mk-MK"/>
        </w:rPr>
        <w:t xml:space="preserve">Специфичната стапка </w:t>
      </w:r>
      <w:r w:rsidR="00650A68">
        <w:rPr>
          <w:rFonts w:ascii="Verdana" w:hAnsi="Verdana"/>
          <w:sz w:val="20"/>
          <w:szCs w:val="20"/>
          <w:lang w:val="mk-MK"/>
        </w:rPr>
        <w:t xml:space="preserve">на морталитет </w:t>
      </w:r>
      <w:r>
        <w:rPr>
          <w:rFonts w:ascii="Verdana" w:hAnsi="Verdana"/>
          <w:sz w:val="20"/>
          <w:szCs w:val="20"/>
          <w:lang w:val="mk-MK"/>
        </w:rPr>
        <w:t>по возраст</w:t>
      </w:r>
      <w:r w:rsidRPr="00864E0C">
        <w:rPr>
          <w:rFonts w:ascii="Verdana" w:hAnsi="Verdana"/>
          <w:sz w:val="20"/>
          <w:szCs w:val="20"/>
        </w:rPr>
        <w:t xml:space="preserve"> </w:t>
      </w:r>
      <w:r w:rsidRPr="00864E0C">
        <w:rPr>
          <w:rFonts w:ascii="Verdana" w:hAnsi="Verdana" w:cs="Arial"/>
          <w:sz w:val="20"/>
          <w:szCs w:val="20"/>
          <w:lang w:val="mk-MK"/>
        </w:rPr>
        <w:t>од циркулаторни заболувања</w:t>
      </w:r>
      <w:r w:rsidRPr="00864E0C">
        <w:rPr>
          <w:rFonts w:ascii="Verdana" w:hAnsi="Verdana"/>
          <w:sz w:val="20"/>
          <w:szCs w:val="20"/>
          <w:lang w:val="mk-MK"/>
        </w:rPr>
        <w:t xml:space="preserve"> </w:t>
      </w:r>
      <w:proofErr w:type="spellStart"/>
      <w:r w:rsidRPr="00864E0C">
        <w:rPr>
          <w:rFonts w:ascii="Verdana" w:hAnsi="Verdana"/>
          <w:sz w:val="20"/>
          <w:szCs w:val="20"/>
        </w:rPr>
        <w:t>кај</w:t>
      </w:r>
      <w:proofErr w:type="spellEnd"/>
      <w:r w:rsidRPr="00864E0C">
        <w:rPr>
          <w:rFonts w:ascii="Verdana" w:hAnsi="Verdana"/>
          <w:sz w:val="20"/>
          <w:szCs w:val="20"/>
        </w:rPr>
        <w:t xml:space="preserve"> </w:t>
      </w:r>
      <w:r w:rsidRPr="00864E0C">
        <w:rPr>
          <w:rFonts w:ascii="Verdana" w:hAnsi="Verdana"/>
          <w:sz w:val="20"/>
          <w:szCs w:val="20"/>
          <w:lang w:val="mk-MK"/>
        </w:rPr>
        <w:t>населението</w:t>
      </w:r>
      <w:r w:rsidRPr="00864E0C">
        <w:rPr>
          <w:rFonts w:ascii="Verdana" w:hAnsi="Verdana"/>
          <w:sz w:val="20"/>
          <w:szCs w:val="20"/>
        </w:rPr>
        <w:t xml:space="preserve"> </w:t>
      </w:r>
      <w:proofErr w:type="spellStart"/>
      <w:r w:rsidRPr="00864E0C">
        <w:rPr>
          <w:rFonts w:ascii="Verdana" w:hAnsi="Verdana"/>
          <w:sz w:val="20"/>
          <w:szCs w:val="20"/>
        </w:rPr>
        <w:t>над</w:t>
      </w:r>
      <w:proofErr w:type="spellEnd"/>
      <w:r w:rsidRPr="00864E0C">
        <w:rPr>
          <w:rFonts w:ascii="Verdana" w:hAnsi="Verdana"/>
          <w:sz w:val="20"/>
          <w:szCs w:val="20"/>
        </w:rPr>
        <w:t xml:space="preserve"> 65 </w:t>
      </w:r>
      <w:proofErr w:type="spellStart"/>
      <w:r w:rsidRPr="00864E0C">
        <w:rPr>
          <w:rFonts w:ascii="Verdana" w:hAnsi="Verdana"/>
          <w:sz w:val="20"/>
          <w:szCs w:val="20"/>
        </w:rPr>
        <w:t>години</w:t>
      </w:r>
      <w:proofErr w:type="spellEnd"/>
      <w:r w:rsidRPr="00864E0C">
        <w:rPr>
          <w:rFonts w:ascii="Verdana" w:hAnsi="Verdana"/>
          <w:sz w:val="20"/>
          <w:szCs w:val="20"/>
          <w:lang w:val="mk-MK"/>
        </w:rPr>
        <w:t xml:space="preserve"> е </w:t>
      </w:r>
      <w:r>
        <w:rPr>
          <w:rFonts w:ascii="Verdana" w:hAnsi="Verdana"/>
          <w:sz w:val="20"/>
          <w:szCs w:val="20"/>
          <w:lang w:val="mk-MK"/>
        </w:rPr>
        <w:t>значително</w:t>
      </w:r>
      <w:r w:rsidRPr="00864E0C">
        <w:rPr>
          <w:rFonts w:ascii="Verdana" w:hAnsi="Verdana"/>
          <w:sz w:val="20"/>
          <w:szCs w:val="20"/>
          <w:lang w:val="mk-MK"/>
        </w:rPr>
        <w:t xml:space="preserve"> повисока во споредба со </w:t>
      </w:r>
      <w:r>
        <w:rPr>
          <w:rFonts w:ascii="Verdana" w:hAnsi="Verdana"/>
          <w:sz w:val="20"/>
          <w:szCs w:val="20"/>
          <w:lang w:val="mk-MK"/>
        </w:rPr>
        <w:t xml:space="preserve">специфичната </w:t>
      </w:r>
      <w:r w:rsidRPr="00864E0C">
        <w:rPr>
          <w:rFonts w:ascii="Verdana" w:hAnsi="Verdana"/>
          <w:sz w:val="20"/>
          <w:szCs w:val="20"/>
          <w:lang w:val="mk-MK"/>
        </w:rPr>
        <w:t>стапка на морталитет кај населението од 0-64 години.</w:t>
      </w:r>
    </w:p>
    <w:p w:rsidR="00074590" w:rsidRPr="0091230D" w:rsidRDefault="00074590" w:rsidP="00074590">
      <w:pPr>
        <w:jc w:val="both"/>
        <w:rPr>
          <w:rFonts w:ascii="Verdana" w:hAnsi="Verdana" w:cs="Arial"/>
          <w:lang w:val="mk-MK"/>
        </w:rPr>
      </w:pPr>
    </w:p>
    <w:p w:rsidR="00074590" w:rsidRPr="00864E0C" w:rsidRDefault="00074590" w:rsidP="00074590">
      <w:pPr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val="mk-MK"/>
        </w:rPr>
      </w:pPr>
      <w:r w:rsidRPr="00864E0C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</w:t>
      </w:r>
    </w:p>
    <w:p w:rsidR="00074590" w:rsidRDefault="00074590" w:rsidP="00074590">
      <w:pPr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val="mk-MK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val="mk-MK"/>
        </w:rPr>
        <w:t xml:space="preserve">Дијаграм 3: </w:t>
      </w:r>
      <w:proofErr w:type="spellStart"/>
      <w:r w:rsidRPr="00864E0C">
        <w:rPr>
          <w:rFonts w:ascii="Verdana" w:eastAsia="Times New Roman" w:hAnsi="Verdana" w:cs="Times New Roman"/>
          <w:b/>
          <w:color w:val="000000"/>
          <w:sz w:val="20"/>
          <w:szCs w:val="20"/>
        </w:rPr>
        <w:t>Морталитет</w:t>
      </w:r>
      <w:proofErr w:type="spellEnd"/>
      <w:r w:rsidRPr="00864E0C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proofErr w:type="spellStart"/>
      <w:r w:rsidRPr="00864E0C">
        <w:rPr>
          <w:rFonts w:ascii="Verdana" w:eastAsia="Times New Roman" w:hAnsi="Verdana" w:cs="Times New Roman"/>
          <w:b/>
          <w:color w:val="000000"/>
          <w:sz w:val="20"/>
          <w:szCs w:val="20"/>
        </w:rPr>
        <w:t>од</w:t>
      </w:r>
      <w:proofErr w:type="spellEnd"/>
      <w:r w:rsidRPr="00864E0C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proofErr w:type="spellStart"/>
      <w:r w:rsidRPr="00864E0C">
        <w:rPr>
          <w:rFonts w:ascii="Verdana" w:eastAsia="Times New Roman" w:hAnsi="Verdana" w:cs="Times New Roman"/>
          <w:b/>
          <w:color w:val="000000"/>
          <w:sz w:val="20"/>
          <w:szCs w:val="20"/>
        </w:rPr>
        <w:t>циркулаторни</w:t>
      </w:r>
      <w:proofErr w:type="spellEnd"/>
      <w:r w:rsidRPr="00864E0C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proofErr w:type="spellStart"/>
      <w:r w:rsidRPr="00864E0C">
        <w:rPr>
          <w:rFonts w:ascii="Verdana" w:eastAsia="Times New Roman" w:hAnsi="Verdana" w:cs="Times New Roman"/>
          <w:b/>
          <w:color w:val="000000"/>
          <w:sz w:val="20"/>
          <w:szCs w:val="20"/>
        </w:rPr>
        <w:t>заболувања</w:t>
      </w:r>
      <w:proofErr w:type="spellEnd"/>
      <w:r w:rsidRPr="00864E0C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proofErr w:type="spellStart"/>
      <w:r w:rsidRPr="00864E0C">
        <w:rPr>
          <w:rFonts w:ascii="Verdana" w:eastAsia="Times New Roman" w:hAnsi="Verdana" w:cs="Times New Roman"/>
          <w:b/>
          <w:color w:val="000000"/>
          <w:sz w:val="20"/>
          <w:szCs w:val="20"/>
        </w:rPr>
        <w:t>во</w:t>
      </w:r>
      <w:proofErr w:type="spellEnd"/>
      <w:r w:rsidRPr="00864E0C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Р.</w:t>
      </w:r>
      <w:r w:rsidR="0096393C">
        <w:rPr>
          <w:rFonts w:ascii="Verdana" w:eastAsia="Times New Roman" w:hAnsi="Verdana" w:cs="Times New Roman"/>
          <w:b/>
          <w:color w:val="000000"/>
          <w:sz w:val="20"/>
          <w:szCs w:val="20"/>
          <w:lang w:val="mk-MK"/>
        </w:rPr>
        <w:t>С.</w:t>
      </w:r>
      <w:proofErr w:type="spellStart"/>
      <w:r w:rsidRPr="00864E0C">
        <w:rPr>
          <w:rFonts w:ascii="Verdana" w:eastAsia="Times New Roman" w:hAnsi="Verdana" w:cs="Times New Roman"/>
          <w:b/>
          <w:color w:val="000000"/>
          <w:sz w:val="20"/>
          <w:szCs w:val="20"/>
        </w:rPr>
        <w:t>Македонија</w:t>
      </w:r>
      <w:proofErr w:type="spellEnd"/>
      <w:r w:rsidRPr="00864E0C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</w:p>
    <w:p w:rsidR="00074590" w:rsidRPr="00864E0C" w:rsidRDefault="00074590" w:rsidP="00074590">
      <w:pPr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val="mk-MK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val="mk-MK"/>
        </w:rPr>
        <w:t xml:space="preserve">                      </w:t>
      </w:r>
      <w:proofErr w:type="spellStart"/>
      <w:proofErr w:type="gramStart"/>
      <w:r w:rsidRPr="00864E0C">
        <w:rPr>
          <w:rFonts w:ascii="Verdana" w:eastAsia="Times New Roman" w:hAnsi="Verdana" w:cs="Times New Roman"/>
          <w:b/>
          <w:color w:val="000000"/>
          <w:sz w:val="20"/>
          <w:szCs w:val="20"/>
        </w:rPr>
        <w:t>по</w:t>
      </w:r>
      <w:proofErr w:type="spellEnd"/>
      <w:proofErr w:type="gramEnd"/>
      <w:r w:rsidRPr="00864E0C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proofErr w:type="spellStart"/>
      <w:r w:rsidRPr="00864E0C">
        <w:rPr>
          <w:rFonts w:ascii="Verdana" w:eastAsia="Times New Roman" w:hAnsi="Verdana" w:cs="Times New Roman"/>
          <w:b/>
          <w:color w:val="000000"/>
          <w:sz w:val="20"/>
          <w:szCs w:val="20"/>
        </w:rPr>
        <w:t>возраст</w:t>
      </w:r>
      <w:proofErr w:type="spellEnd"/>
      <w:r w:rsidRPr="00864E0C">
        <w:rPr>
          <w:rFonts w:ascii="Verdana" w:eastAsia="Times New Roman" w:hAnsi="Verdana" w:cs="Times New Roman"/>
          <w:b/>
          <w:color w:val="000000"/>
          <w:sz w:val="20"/>
          <w:szCs w:val="20"/>
        </w:rPr>
        <w:t>,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val="mk-MK"/>
        </w:rPr>
        <w:t xml:space="preserve"> </w:t>
      </w:r>
      <w:r w:rsidRPr="00864E0C">
        <w:rPr>
          <w:rFonts w:ascii="Verdana" w:eastAsia="Times New Roman" w:hAnsi="Verdana" w:cs="Times New Roman"/>
          <w:b/>
          <w:color w:val="000000"/>
          <w:sz w:val="20"/>
          <w:szCs w:val="20"/>
        </w:rPr>
        <w:t>2010-201</w:t>
      </w:r>
      <w:r w:rsidR="00651BA9">
        <w:rPr>
          <w:rFonts w:ascii="Verdana" w:eastAsia="Times New Roman" w:hAnsi="Verdana" w:cs="Times New Roman"/>
          <w:b/>
          <w:color w:val="000000"/>
          <w:sz w:val="20"/>
          <w:szCs w:val="20"/>
          <w:lang w:val="mk-MK"/>
        </w:rPr>
        <w:t>9</w:t>
      </w:r>
      <w:r w:rsidRPr="00864E0C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proofErr w:type="spellStart"/>
      <w:r w:rsidRPr="00864E0C">
        <w:rPr>
          <w:rFonts w:ascii="Verdana" w:eastAsia="Times New Roman" w:hAnsi="Verdana" w:cs="Times New Roman"/>
          <w:b/>
          <w:color w:val="000000"/>
          <w:sz w:val="20"/>
          <w:szCs w:val="20"/>
        </w:rPr>
        <w:t>година</w:t>
      </w:r>
      <w:proofErr w:type="spellEnd"/>
    </w:p>
    <w:p w:rsidR="00074590" w:rsidRDefault="00074590" w:rsidP="00074590">
      <w:pPr>
        <w:jc w:val="both"/>
        <w:rPr>
          <w:rFonts w:ascii="Verdana" w:hAnsi="Verdana" w:cs="Arial"/>
        </w:rPr>
      </w:pPr>
    </w:p>
    <w:p w:rsidR="00074590" w:rsidRDefault="00651BA9" w:rsidP="00074590">
      <w:pPr>
        <w:jc w:val="both"/>
        <w:rPr>
          <w:rFonts w:ascii="Verdana" w:hAnsi="Verdana" w:cs="Arial"/>
        </w:rPr>
      </w:pPr>
      <w:r w:rsidRPr="00651BA9">
        <w:rPr>
          <w:rFonts w:ascii="Verdana" w:hAnsi="Verdana" w:cs="Arial"/>
          <w:noProof/>
          <w:lang w:val="mk-MK" w:eastAsia="mk-MK"/>
        </w:rPr>
        <w:drawing>
          <wp:inline distT="0" distB="0" distL="0" distR="0">
            <wp:extent cx="5943600" cy="2569210"/>
            <wp:effectExtent l="114300" t="38100" r="19050" b="21590"/>
            <wp:docPr id="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74590" w:rsidRPr="0091230D" w:rsidRDefault="00074590" w:rsidP="00074590">
      <w:pPr>
        <w:jc w:val="both"/>
        <w:rPr>
          <w:rFonts w:ascii="Verdana" w:hAnsi="Verdana" w:cs="Arial"/>
          <w:lang w:val="mk-MK"/>
        </w:rPr>
      </w:pPr>
    </w:p>
    <w:p w:rsidR="00074590" w:rsidRPr="00A36DDC" w:rsidRDefault="00074590" w:rsidP="00074590">
      <w:pPr>
        <w:jc w:val="both"/>
        <w:rPr>
          <w:rFonts w:ascii="Verdana" w:hAnsi="Verdana" w:cs="Arial"/>
          <w:sz w:val="20"/>
          <w:szCs w:val="20"/>
          <w:lang w:val="mk-MK"/>
        </w:rPr>
      </w:pPr>
      <w:r w:rsidRPr="00A36DDC">
        <w:rPr>
          <w:rFonts w:ascii="Verdana" w:hAnsi="Verdana" w:cs="Arial"/>
          <w:sz w:val="20"/>
          <w:szCs w:val="20"/>
          <w:lang w:val="mk-MK"/>
        </w:rPr>
        <w:lastRenderedPageBreak/>
        <w:t>Смртноста од исхемичните болести на срцето е значително поголема кај населението над 65 години во според</w:t>
      </w:r>
      <w:r>
        <w:rPr>
          <w:rFonts w:ascii="Verdana" w:hAnsi="Verdana" w:cs="Arial"/>
          <w:sz w:val="20"/>
          <w:szCs w:val="20"/>
          <w:lang w:val="mk-MK"/>
        </w:rPr>
        <w:t>б</w:t>
      </w:r>
      <w:r w:rsidRPr="00A36DDC">
        <w:rPr>
          <w:rFonts w:ascii="Verdana" w:hAnsi="Verdana" w:cs="Arial"/>
          <w:sz w:val="20"/>
          <w:szCs w:val="20"/>
          <w:lang w:val="mk-MK"/>
        </w:rPr>
        <w:t xml:space="preserve">а со смртноста кај населението до 64 години. </w:t>
      </w:r>
    </w:p>
    <w:p w:rsidR="00074590" w:rsidRPr="00A36DDC" w:rsidRDefault="00074590" w:rsidP="00074590">
      <w:pPr>
        <w:jc w:val="both"/>
        <w:rPr>
          <w:rFonts w:ascii="Verdana" w:hAnsi="Verdana" w:cs="Arial"/>
          <w:sz w:val="20"/>
          <w:szCs w:val="20"/>
          <w:lang w:val="mk-MK"/>
        </w:rPr>
      </w:pPr>
    </w:p>
    <w:p w:rsidR="00074590" w:rsidRDefault="00074590" w:rsidP="00074590">
      <w:pPr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val="mk-MK"/>
        </w:rPr>
      </w:pPr>
      <w:r w:rsidRPr="00A36DDC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Pr="00A36DDC">
        <w:rPr>
          <w:rFonts w:ascii="Verdana" w:eastAsia="Times New Roman" w:hAnsi="Verdana" w:cs="Times New Roman"/>
          <w:b/>
          <w:color w:val="000000"/>
          <w:sz w:val="20"/>
          <w:szCs w:val="20"/>
          <w:lang w:val="mk-MK"/>
        </w:rPr>
        <w:t xml:space="preserve">Дијаграм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val="mk-MK"/>
        </w:rPr>
        <w:t>4</w:t>
      </w:r>
      <w:r w:rsidRPr="00A36DDC">
        <w:rPr>
          <w:rFonts w:ascii="Verdana" w:eastAsia="Times New Roman" w:hAnsi="Verdana" w:cs="Times New Roman"/>
          <w:b/>
          <w:color w:val="000000"/>
          <w:sz w:val="20"/>
          <w:szCs w:val="20"/>
          <w:lang w:val="mk-MK"/>
        </w:rPr>
        <w:t xml:space="preserve">: </w:t>
      </w:r>
      <w:proofErr w:type="spellStart"/>
      <w:r w:rsidRPr="00A36DDC">
        <w:rPr>
          <w:rFonts w:ascii="Verdana" w:eastAsia="Times New Roman" w:hAnsi="Verdana" w:cs="Times New Roman"/>
          <w:b/>
          <w:color w:val="000000"/>
          <w:sz w:val="20"/>
          <w:szCs w:val="20"/>
        </w:rPr>
        <w:t>Морталитет</w:t>
      </w:r>
      <w:proofErr w:type="spellEnd"/>
      <w:r w:rsidRPr="00A36DDC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proofErr w:type="spellStart"/>
      <w:r w:rsidRPr="00A36DDC">
        <w:rPr>
          <w:rFonts w:ascii="Verdana" w:eastAsia="Times New Roman" w:hAnsi="Verdana" w:cs="Times New Roman"/>
          <w:b/>
          <w:color w:val="000000"/>
          <w:sz w:val="20"/>
          <w:szCs w:val="20"/>
        </w:rPr>
        <w:t>од</w:t>
      </w:r>
      <w:proofErr w:type="spellEnd"/>
      <w:r w:rsidRPr="00A36DDC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proofErr w:type="spellStart"/>
      <w:r w:rsidRPr="00A36DDC">
        <w:rPr>
          <w:rFonts w:ascii="Verdana" w:eastAsia="Times New Roman" w:hAnsi="Verdana" w:cs="Times New Roman"/>
          <w:b/>
          <w:color w:val="000000"/>
          <w:sz w:val="20"/>
          <w:szCs w:val="20"/>
        </w:rPr>
        <w:t>исхемичн</w:t>
      </w:r>
      <w:proofErr w:type="spellEnd"/>
      <w:r w:rsidRPr="00A36DDC">
        <w:rPr>
          <w:rFonts w:ascii="Verdana" w:eastAsia="Times New Roman" w:hAnsi="Verdana" w:cs="Times New Roman"/>
          <w:b/>
          <w:color w:val="000000"/>
          <w:sz w:val="20"/>
          <w:szCs w:val="20"/>
          <w:lang w:val="mk-MK"/>
        </w:rPr>
        <w:t>и</w:t>
      </w:r>
      <w:r w:rsidRPr="00A36DDC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proofErr w:type="spellStart"/>
      <w:r w:rsidRPr="00A36DDC">
        <w:rPr>
          <w:rFonts w:ascii="Verdana" w:eastAsia="Times New Roman" w:hAnsi="Verdana" w:cs="Times New Roman"/>
          <w:b/>
          <w:color w:val="000000"/>
          <w:sz w:val="20"/>
          <w:szCs w:val="20"/>
        </w:rPr>
        <w:t>болест</w:t>
      </w:r>
      <w:proofErr w:type="spellEnd"/>
      <w:r w:rsidRPr="00A36DDC">
        <w:rPr>
          <w:rFonts w:ascii="Verdana" w:eastAsia="Times New Roman" w:hAnsi="Verdana" w:cs="Times New Roman"/>
          <w:b/>
          <w:color w:val="000000"/>
          <w:sz w:val="20"/>
          <w:szCs w:val="20"/>
          <w:lang w:val="mk-MK"/>
        </w:rPr>
        <w:t>и</w:t>
      </w:r>
      <w:r w:rsidRPr="00A36DDC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proofErr w:type="spellStart"/>
      <w:r w:rsidRPr="00A36DDC">
        <w:rPr>
          <w:rFonts w:ascii="Verdana" w:eastAsia="Times New Roman" w:hAnsi="Verdana" w:cs="Times New Roman"/>
          <w:b/>
          <w:color w:val="000000"/>
          <w:sz w:val="20"/>
          <w:szCs w:val="20"/>
        </w:rPr>
        <w:t>на</w:t>
      </w:r>
      <w:proofErr w:type="spellEnd"/>
      <w:r w:rsidRPr="00A36DDC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proofErr w:type="spellStart"/>
      <w:r w:rsidRPr="00A36DDC">
        <w:rPr>
          <w:rFonts w:ascii="Verdana" w:eastAsia="Times New Roman" w:hAnsi="Verdana" w:cs="Times New Roman"/>
          <w:b/>
          <w:color w:val="000000"/>
          <w:sz w:val="20"/>
          <w:szCs w:val="20"/>
        </w:rPr>
        <w:t>срцето</w:t>
      </w:r>
      <w:proofErr w:type="spellEnd"/>
      <w:r w:rsidRPr="00A36DDC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proofErr w:type="spellStart"/>
      <w:r w:rsidRPr="00A36DDC">
        <w:rPr>
          <w:rFonts w:ascii="Verdana" w:eastAsia="Times New Roman" w:hAnsi="Verdana" w:cs="Times New Roman"/>
          <w:b/>
          <w:color w:val="000000"/>
          <w:sz w:val="20"/>
          <w:szCs w:val="20"/>
        </w:rPr>
        <w:t>во</w:t>
      </w:r>
      <w:proofErr w:type="spellEnd"/>
      <w:r w:rsidRPr="00A36DDC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Р.</w:t>
      </w:r>
      <w:r w:rsidR="0096393C">
        <w:rPr>
          <w:rFonts w:ascii="Verdana" w:eastAsia="Times New Roman" w:hAnsi="Verdana" w:cs="Times New Roman"/>
          <w:b/>
          <w:color w:val="000000"/>
          <w:sz w:val="20"/>
          <w:szCs w:val="20"/>
          <w:lang w:val="mk-MK"/>
        </w:rPr>
        <w:t>С.</w:t>
      </w:r>
      <w:proofErr w:type="spellStart"/>
      <w:r w:rsidRPr="00A36DDC">
        <w:rPr>
          <w:rFonts w:ascii="Verdana" w:eastAsia="Times New Roman" w:hAnsi="Verdana" w:cs="Times New Roman"/>
          <w:b/>
          <w:color w:val="000000"/>
          <w:sz w:val="20"/>
          <w:szCs w:val="20"/>
        </w:rPr>
        <w:t>Македонија</w:t>
      </w:r>
      <w:proofErr w:type="spellEnd"/>
    </w:p>
    <w:p w:rsidR="00074590" w:rsidRPr="00F7404C" w:rsidRDefault="00074590" w:rsidP="00074590">
      <w:pPr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val="mk-MK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val="mk-MK"/>
        </w:rPr>
        <w:t xml:space="preserve">                       </w:t>
      </w:r>
      <w:proofErr w:type="spellStart"/>
      <w:proofErr w:type="gramStart"/>
      <w:r w:rsidRPr="00A36DDC">
        <w:rPr>
          <w:rFonts w:ascii="Verdana" w:eastAsia="Times New Roman" w:hAnsi="Verdana" w:cs="Times New Roman"/>
          <w:b/>
          <w:color w:val="000000"/>
          <w:sz w:val="20"/>
          <w:szCs w:val="20"/>
        </w:rPr>
        <w:t>по</w:t>
      </w:r>
      <w:proofErr w:type="spellEnd"/>
      <w:proofErr w:type="gramEnd"/>
      <w:r w:rsidRPr="00A36DDC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proofErr w:type="spellStart"/>
      <w:r w:rsidRPr="00A36DDC">
        <w:rPr>
          <w:rFonts w:ascii="Verdana" w:eastAsia="Times New Roman" w:hAnsi="Verdana" w:cs="Times New Roman"/>
          <w:b/>
          <w:color w:val="000000"/>
          <w:sz w:val="20"/>
          <w:szCs w:val="20"/>
        </w:rPr>
        <w:t>возраст</w:t>
      </w:r>
      <w:proofErr w:type="spellEnd"/>
      <w:r w:rsidRPr="00A36DDC">
        <w:rPr>
          <w:rFonts w:ascii="Verdana" w:eastAsia="Times New Roman" w:hAnsi="Verdana" w:cs="Times New Roman"/>
          <w:b/>
          <w:color w:val="000000"/>
          <w:sz w:val="20"/>
          <w:szCs w:val="20"/>
        </w:rPr>
        <w:t>, 2010-201</w:t>
      </w:r>
      <w:r w:rsidR="004D52F3">
        <w:rPr>
          <w:rFonts w:ascii="Verdana" w:eastAsia="Times New Roman" w:hAnsi="Verdana" w:cs="Times New Roman"/>
          <w:b/>
          <w:color w:val="000000"/>
          <w:sz w:val="20"/>
          <w:szCs w:val="20"/>
          <w:lang w:val="mk-MK"/>
        </w:rPr>
        <w:t>9</w:t>
      </w:r>
      <w:r w:rsidRPr="00A36DDC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proofErr w:type="spellStart"/>
      <w:r w:rsidRPr="00A36DDC">
        <w:rPr>
          <w:rFonts w:ascii="Verdana" w:eastAsia="Times New Roman" w:hAnsi="Verdana" w:cs="Times New Roman"/>
          <w:b/>
          <w:color w:val="000000"/>
          <w:sz w:val="20"/>
          <w:szCs w:val="20"/>
        </w:rPr>
        <w:t>годин</w:t>
      </w:r>
      <w:proofErr w:type="spellEnd"/>
      <w:r>
        <w:rPr>
          <w:rFonts w:ascii="Verdana" w:eastAsia="Times New Roman" w:hAnsi="Verdana" w:cs="Times New Roman"/>
          <w:b/>
          <w:color w:val="000000"/>
          <w:sz w:val="20"/>
          <w:szCs w:val="20"/>
          <w:lang w:val="mk-MK"/>
        </w:rPr>
        <w:t>а</w:t>
      </w:r>
    </w:p>
    <w:p w:rsidR="00074590" w:rsidRPr="00F7404C" w:rsidRDefault="00074590" w:rsidP="00074590">
      <w:pPr>
        <w:jc w:val="both"/>
        <w:rPr>
          <w:rFonts w:ascii="Verdana" w:hAnsi="Verdana" w:cs="Arial"/>
        </w:rPr>
      </w:pPr>
    </w:p>
    <w:p w:rsidR="00074590" w:rsidRPr="001278AB" w:rsidRDefault="00651BA9" w:rsidP="00074590">
      <w:pPr>
        <w:jc w:val="both"/>
        <w:rPr>
          <w:rFonts w:ascii="Verdana" w:hAnsi="Verdana" w:cs="Arial"/>
        </w:rPr>
      </w:pPr>
      <w:r w:rsidRPr="00651BA9">
        <w:rPr>
          <w:rFonts w:ascii="Verdana" w:hAnsi="Verdana" w:cs="Arial"/>
          <w:noProof/>
          <w:lang w:val="mk-MK" w:eastAsia="mk-MK"/>
        </w:rPr>
        <w:drawing>
          <wp:inline distT="0" distB="0" distL="0" distR="0">
            <wp:extent cx="5943600" cy="2544445"/>
            <wp:effectExtent l="114300" t="38100" r="19050" b="27305"/>
            <wp:docPr id="6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74590" w:rsidRPr="00F74292" w:rsidRDefault="00074590" w:rsidP="00074590">
      <w:pPr>
        <w:jc w:val="both"/>
        <w:rPr>
          <w:rFonts w:ascii="Verdana" w:hAnsi="Verdana" w:cs="Arial"/>
          <w:lang w:val="mk-MK"/>
        </w:rPr>
      </w:pPr>
    </w:p>
    <w:p w:rsidR="00074590" w:rsidRPr="00C61975" w:rsidRDefault="00074590" w:rsidP="00074590">
      <w:pPr>
        <w:jc w:val="both"/>
        <w:rPr>
          <w:rFonts w:ascii="Verdana" w:hAnsi="Verdana" w:cs="Arial"/>
          <w:sz w:val="20"/>
          <w:szCs w:val="20"/>
          <w:lang w:val="mk-MK"/>
        </w:rPr>
      </w:pPr>
      <w:r w:rsidRPr="00C61975">
        <w:rPr>
          <w:rFonts w:ascii="Verdana" w:hAnsi="Verdana" w:cs="Arial"/>
          <w:sz w:val="20"/>
          <w:szCs w:val="20"/>
          <w:lang w:val="mk-MK"/>
        </w:rPr>
        <w:t>Стапката на морталитет од цереброваскуларни болести на возраст над 65 годин</w:t>
      </w:r>
      <w:r>
        <w:rPr>
          <w:rFonts w:ascii="Verdana" w:hAnsi="Verdana" w:cs="Arial"/>
          <w:sz w:val="20"/>
          <w:szCs w:val="20"/>
          <w:lang w:val="mk-MK"/>
        </w:rPr>
        <w:t>и во 201</w:t>
      </w:r>
      <w:r w:rsidR="004D52F3">
        <w:rPr>
          <w:rFonts w:ascii="Verdana" w:hAnsi="Verdana" w:cs="Arial"/>
          <w:sz w:val="20"/>
          <w:szCs w:val="20"/>
          <w:lang w:val="mk-MK"/>
        </w:rPr>
        <w:t>9</w:t>
      </w:r>
      <w:r>
        <w:rPr>
          <w:rFonts w:ascii="Verdana" w:hAnsi="Verdana" w:cs="Arial"/>
          <w:sz w:val="20"/>
          <w:szCs w:val="20"/>
          <w:lang w:val="mk-MK"/>
        </w:rPr>
        <w:t xml:space="preserve"> година изнесувала </w:t>
      </w:r>
      <w:r w:rsidR="00B57EB7">
        <w:rPr>
          <w:rFonts w:ascii="Verdana" w:hAnsi="Verdana" w:cs="Arial"/>
          <w:sz w:val="20"/>
          <w:szCs w:val="20"/>
        </w:rPr>
        <w:t>8</w:t>
      </w:r>
      <w:r w:rsidR="004D52F3">
        <w:rPr>
          <w:rFonts w:ascii="Verdana" w:hAnsi="Verdana" w:cs="Arial"/>
          <w:sz w:val="20"/>
          <w:szCs w:val="20"/>
          <w:lang w:val="mk-MK"/>
        </w:rPr>
        <w:t>45</w:t>
      </w:r>
      <w:r>
        <w:rPr>
          <w:rFonts w:ascii="Verdana" w:hAnsi="Verdana" w:cs="Arial"/>
          <w:sz w:val="20"/>
          <w:szCs w:val="20"/>
          <w:lang w:val="mk-MK"/>
        </w:rPr>
        <w:t>,</w:t>
      </w:r>
      <w:r w:rsidR="004D52F3">
        <w:rPr>
          <w:rFonts w:ascii="Verdana" w:hAnsi="Verdana" w:cs="Arial"/>
          <w:sz w:val="20"/>
          <w:szCs w:val="20"/>
          <w:lang w:val="mk-MK"/>
        </w:rPr>
        <w:t>6</w:t>
      </w:r>
      <w:r w:rsidRPr="00C61975">
        <w:rPr>
          <w:rFonts w:ascii="Verdana" w:hAnsi="Verdana" w:cs="Arial"/>
          <w:sz w:val="20"/>
          <w:szCs w:val="20"/>
          <w:lang w:val="mk-MK"/>
        </w:rPr>
        <w:t xml:space="preserve"> на 100000 население, а на возраст до 64 години </w:t>
      </w:r>
      <w:r w:rsidR="00AB328A">
        <w:rPr>
          <w:rFonts w:ascii="Verdana" w:hAnsi="Verdana" w:cs="Arial"/>
          <w:sz w:val="20"/>
          <w:szCs w:val="20"/>
          <w:lang w:val="mk-MK"/>
        </w:rPr>
        <w:t>18</w:t>
      </w:r>
      <w:r w:rsidRPr="00C61975">
        <w:rPr>
          <w:rFonts w:ascii="Verdana" w:hAnsi="Verdana" w:cs="Arial"/>
          <w:sz w:val="20"/>
          <w:szCs w:val="20"/>
          <w:lang w:val="mk-MK"/>
        </w:rPr>
        <w:t>,</w:t>
      </w:r>
      <w:r w:rsidR="004D52F3">
        <w:rPr>
          <w:rFonts w:ascii="Verdana" w:hAnsi="Verdana" w:cs="Arial"/>
          <w:sz w:val="20"/>
          <w:szCs w:val="20"/>
          <w:lang w:val="mk-MK"/>
        </w:rPr>
        <w:t>6</w:t>
      </w:r>
      <w:r w:rsidRPr="00C61975">
        <w:rPr>
          <w:rFonts w:ascii="Verdana" w:hAnsi="Verdana" w:cs="Arial"/>
          <w:sz w:val="20"/>
          <w:szCs w:val="20"/>
          <w:lang w:val="mk-MK"/>
        </w:rPr>
        <w:t>%ооо, од што се забележува дека смртноста е значително повисока на возраст над 65 години.</w:t>
      </w:r>
    </w:p>
    <w:p w:rsidR="00074590" w:rsidRPr="00C61975" w:rsidRDefault="00074590" w:rsidP="00074590">
      <w:pPr>
        <w:jc w:val="both"/>
        <w:rPr>
          <w:rFonts w:ascii="Verdana" w:hAnsi="Verdana" w:cs="Arial"/>
          <w:sz w:val="20"/>
          <w:szCs w:val="20"/>
          <w:lang w:val="mk-MK"/>
        </w:rPr>
      </w:pPr>
    </w:p>
    <w:p w:rsidR="00074590" w:rsidRDefault="00074590" w:rsidP="00074590">
      <w:pPr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val="mk-MK"/>
        </w:rPr>
      </w:pPr>
      <w:r w:rsidRPr="00C61975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Pr="00C61975">
        <w:rPr>
          <w:rFonts w:ascii="Verdana" w:eastAsia="Times New Roman" w:hAnsi="Verdana" w:cs="Times New Roman"/>
          <w:b/>
          <w:color w:val="000000"/>
          <w:sz w:val="20"/>
          <w:szCs w:val="20"/>
          <w:lang w:val="mk-MK"/>
        </w:rPr>
        <w:t xml:space="preserve">Дијаграм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val="mk-MK"/>
        </w:rPr>
        <w:t>5</w:t>
      </w:r>
      <w:r w:rsidRPr="00C61975">
        <w:rPr>
          <w:rFonts w:ascii="Verdana" w:eastAsia="Times New Roman" w:hAnsi="Verdana" w:cs="Times New Roman"/>
          <w:b/>
          <w:color w:val="000000"/>
          <w:sz w:val="20"/>
          <w:szCs w:val="20"/>
          <w:lang w:val="mk-MK"/>
        </w:rPr>
        <w:t>:</w:t>
      </w:r>
      <w:proofErr w:type="spellStart"/>
      <w:r w:rsidRPr="00C61975">
        <w:rPr>
          <w:rFonts w:ascii="Verdana" w:eastAsia="Times New Roman" w:hAnsi="Verdana" w:cs="Times New Roman"/>
          <w:b/>
          <w:color w:val="000000"/>
          <w:sz w:val="20"/>
          <w:szCs w:val="20"/>
        </w:rPr>
        <w:t>Морталитет</w:t>
      </w:r>
      <w:proofErr w:type="spellEnd"/>
      <w:r w:rsidRPr="00C61975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proofErr w:type="spellStart"/>
      <w:r w:rsidRPr="00C61975">
        <w:rPr>
          <w:rFonts w:ascii="Verdana" w:eastAsia="Times New Roman" w:hAnsi="Verdana" w:cs="Times New Roman"/>
          <w:b/>
          <w:color w:val="000000"/>
          <w:sz w:val="20"/>
          <w:szCs w:val="20"/>
        </w:rPr>
        <w:t>од</w:t>
      </w:r>
      <w:proofErr w:type="spellEnd"/>
      <w:r w:rsidRPr="00C61975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proofErr w:type="spellStart"/>
      <w:r w:rsidRPr="00C61975">
        <w:rPr>
          <w:rFonts w:ascii="Verdana" w:eastAsia="Times New Roman" w:hAnsi="Verdana" w:cs="Times New Roman"/>
          <w:b/>
          <w:color w:val="000000"/>
          <w:sz w:val="20"/>
          <w:szCs w:val="20"/>
        </w:rPr>
        <w:t>церебр</w:t>
      </w:r>
      <w:proofErr w:type="spellEnd"/>
      <w:r w:rsidRPr="00C61975">
        <w:rPr>
          <w:rFonts w:ascii="Verdana" w:eastAsia="Times New Roman" w:hAnsi="Verdana" w:cs="Times New Roman"/>
          <w:b/>
          <w:color w:val="000000"/>
          <w:sz w:val="20"/>
          <w:szCs w:val="20"/>
          <w:lang w:val="mk-MK"/>
        </w:rPr>
        <w:t>оваскуларни болести</w:t>
      </w:r>
      <w:r w:rsidRPr="00C61975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proofErr w:type="spellStart"/>
      <w:r w:rsidRPr="00C61975">
        <w:rPr>
          <w:rFonts w:ascii="Verdana" w:eastAsia="Times New Roman" w:hAnsi="Verdana" w:cs="Times New Roman"/>
          <w:b/>
          <w:color w:val="000000"/>
          <w:sz w:val="20"/>
          <w:szCs w:val="20"/>
        </w:rPr>
        <w:t>во</w:t>
      </w:r>
      <w:proofErr w:type="spellEnd"/>
      <w:r w:rsidRPr="00C61975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Р.</w:t>
      </w:r>
      <w:r w:rsidR="00AB328A">
        <w:rPr>
          <w:rFonts w:ascii="Verdana" w:eastAsia="Times New Roman" w:hAnsi="Verdana" w:cs="Times New Roman"/>
          <w:b/>
          <w:color w:val="000000"/>
          <w:sz w:val="20"/>
          <w:szCs w:val="20"/>
          <w:lang w:val="mk-MK"/>
        </w:rPr>
        <w:t>С.</w:t>
      </w:r>
      <w:proofErr w:type="spellStart"/>
      <w:r w:rsidRPr="00C61975">
        <w:rPr>
          <w:rFonts w:ascii="Verdana" w:eastAsia="Times New Roman" w:hAnsi="Verdana" w:cs="Times New Roman"/>
          <w:b/>
          <w:color w:val="000000"/>
          <w:sz w:val="20"/>
          <w:szCs w:val="20"/>
        </w:rPr>
        <w:t>Македонија</w:t>
      </w:r>
      <w:proofErr w:type="spellEnd"/>
      <w:r w:rsidRPr="00C61975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</w:p>
    <w:p w:rsidR="00074590" w:rsidRDefault="00074590" w:rsidP="00074590">
      <w:pPr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val="mk-MK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val="mk-MK"/>
        </w:rPr>
        <w:t xml:space="preserve">                      </w:t>
      </w:r>
      <w:proofErr w:type="spellStart"/>
      <w:proofErr w:type="gramStart"/>
      <w:r w:rsidRPr="00C61975">
        <w:rPr>
          <w:rFonts w:ascii="Verdana" w:eastAsia="Times New Roman" w:hAnsi="Verdana" w:cs="Times New Roman"/>
          <w:b/>
          <w:color w:val="000000"/>
          <w:sz w:val="20"/>
          <w:szCs w:val="20"/>
        </w:rPr>
        <w:t>по</w:t>
      </w:r>
      <w:proofErr w:type="spellEnd"/>
      <w:proofErr w:type="gramEnd"/>
      <w:r w:rsidRPr="00C61975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proofErr w:type="spellStart"/>
      <w:r w:rsidRPr="00C61975">
        <w:rPr>
          <w:rFonts w:ascii="Verdana" w:eastAsia="Times New Roman" w:hAnsi="Verdana" w:cs="Times New Roman"/>
          <w:b/>
          <w:color w:val="000000"/>
          <w:sz w:val="20"/>
          <w:szCs w:val="20"/>
        </w:rPr>
        <w:t>возраст</w:t>
      </w:r>
      <w:proofErr w:type="spellEnd"/>
      <w:r w:rsidRPr="00C61975">
        <w:rPr>
          <w:rFonts w:ascii="Verdana" w:eastAsia="Times New Roman" w:hAnsi="Verdana" w:cs="Times New Roman"/>
          <w:b/>
          <w:color w:val="000000"/>
          <w:sz w:val="20"/>
          <w:szCs w:val="20"/>
        </w:rPr>
        <w:t>, 2010-201</w:t>
      </w:r>
      <w:r w:rsidR="004D52F3">
        <w:rPr>
          <w:rFonts w:ascii="Verdana" w:eastAsia="Times New Roman" w:hAnsi="Verdana" w:cs="Times New Roman"/>
          <w:b/>
          <w:color w:val="000000"/>
          <w:sz w:val="20"/>
          <w:szCs w:val="20"/>
          <w:lang w:val="mk-MK"/>
        </w:rPr>
        <w:t>9</w:t>
      </w:r>
      <w:r w:rsidRPr="00C61975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proofErr w:type="spellStart"/>
      <w:r w:rsidRPr="00C61975">
        <w:rPr>
          <w:rFonts w:ascii="Verdana" w:eastAsia="Times New Roman" w:hAnsi="Verdana" w:cs="Times New Roman"/>
          <w:b/>
          <w:color w:val="000000"/>
          <w:sz w:val="20"/>
          <w:szCs w:val="20"/>
        </w:rPr>
        <w:t>година</w:t>
      </w:r>
      <w:proofErr w:type="spellEnd"/>
    </w:p>
    <w:p w:rsidR="004D52F3" w:rsidRPr="004D52F3" w:rsidRDefault="004D52F3" w:rsidP="00074590">
      <w:pPr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val="mk-MK"/>
        </w:rPr>
      </w:pPr>
    </w:p>
    <w:p w:rsidR="00074590" w:rsidRDefault="004D52F3" w:rsidP="00074590">
      <w:pPr>
        <w:jc w:val="both"/>
        <w:rPr>
          <w:rFonts w:ascii="Verdana" w:hAnsi="Verdana" w:cs="Arial"/>
          <w:lang w:val="mk-MK"/>
        </w:rPr>
      </w:pPr>
      <w:r w:rsidRPr="004D52F3">
        <w:rPr>
          <w:rFonts w:ascii="Verdana" w:hAnsi="Verdana" w:cs="Arial"/>
          <w:noProof/>
          <w:lang w:val="mk-MK" w:eastAsia="mk-MK"/>
        </w:rPr>
        <w:drawing>
          <wp:inline distT="0" distB="0" distL="0" distR="0">
            <wp:extent cx="5943600" cy="2560320"/>
            <wp:effectExtent l="114300" t="38100" r="19050" b="11430"/>
            <wp:docPr id="8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74590" w:rsidRDefault="00074590" w:rsidP="00074590">
      <w:pPr>
        <w:jc w:val="both"/>
        <w:rPr>
          <w:rFonts w:ascii="Verdana" w:hAnsi="Verdana" w:cs="Arial"/>
          <w:lang w:val="mk-MK"/>
        </w:rPr>
      </w:pPr>
    </w:p>
    <w:p w:rsidR="00074590" w:rsidRPr="005A5D65" w:rsidRDefault="00074590" w:rsidP="00074590">
      <w:pPr>
        <w:jc w:val="both"/>
        <w:rPr>
          <w:rFonts w:ascii="Verdana" w:hAnsi="Verdana" w:cs="Arial"/>
          <w:lang w:val="mk-MK"/>
        </w:rPr>
      </w:pPr>
    </w:p>
    <w:p w:rsidR="00074590" w:rsidRDefault="00074590" w:rsidP="00074590">
      <w:pPr>
        <w:jc w:val="both"/>
        <w:rPr>
          <w:rFonts w:ascii="Verdana" w:hAnsi="Verdana" w:cs="Arial"/>
          <w:sz w:val="20"/>
          <w:szCs w:val="20"/>
          <w:lang w:val="mk-MK"/>
        </w:rPr>
      </w:pPr>
      <w:r w:rsidRPr="008D7A28">
        <w:rPr>
          <w:rFonts w:ascii="Verdana" w:hAnsi="Verdana" w:cs="Arial"/>
          <w:sz w:val="20"/>
          <w:szCs w:val="20"/>
          <w:lang w:val="mk-MK"/>
        </w:rPr>
        <w:lastRenderedPageBreak/>
        <w:t>Според пол, во периодот 2010-201</w:t>
      </w:r>
      <w:r w:rsidR="004D52F3">
        <w:rPr>
          <w:rFonts w:ascii="Verdana" w:hAnsi="Verdana" w:cs="Arial"/>
          <w:sz w:val="20"/>
          <w:szCs w:val="20"/>
          <w:lang w:val="mk-MK"/>
        </w:rPr>
        <w:t>9</w:t>
      </w:r>
      <w:r w:rsidRPr="008D7A28">
        <w:rPr>
          <w:rFonts w:ascii="Verdana" w:hAnsi="Verdana" w:cs="Arial"/>
          <w:sz w:val="20"/>
          <w:szCs w:val="20"/>
          <w:lang w:val="mk-MK"/>
        </w:rPr>
        <w:t xml:space="preserve"> година смртноста од циркулаторни заболувања е повисока кај жените во однос на мажите.</w:t>
      </w:r>
    </w:p>
    <w:p w:rsidR="00074590" w:rsidRPr="008D7A28" w:rsidRDefault="00074590" w:rsidP="00074590">
      <w:pPr>
        <w:jc w:val="both"/>
        <w:rPr>
          <w:rFonts w:ascii="Verdana" w:hAnsi="Verdana" w:cs="Arial"/>
          <w:sz w:val="20"/>
          <w:szCs w:val="20"/>
          <w:lang w:val="mk-MK"/>
        </w:rPr>
      </w:pPr>
    </w:p>
    <w:p w:rsidR="00074590" w:rsidRDefault="00074590" w:rsidP="00074590">
      <w:pPr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val="mk-MK"/>
        </w:rPr>
      </w:pPr>
      <w:r w:rsidRPr="008D7A28">
        <w:rPr>
          <w:rFonts w:ascii="Verdana" w:eastAsia="Times New Roman" w:hAnsi="Verdana" w:cs="Times New Roman"/>
          <w:b/>
          <w:color w:val="000000"/>
          <w:sz w:val="20"/>
          <w:szCs w:val="20"/>
          <w:lang w:val="mk-MK"/>
        </w:rPr>
        <w:t xml:space="preserve">Дијаграм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val="mk-MK"/>
        </w:rPr>
        <w:t>6</w:t>
      </w:r>
      <w:r w:rsidRPr="008D7A28">
        <w:rPr>
          <w:rFonts w:ascii="Verdana" w:eastAsia="Times New Roman" w:hAnsi="Verdana" w:cs="Times New Roman"/>
          <w:b/>
          <w:color w:val="000000"/>
          <w:sz w:val="20"/>
          <w:szCs w:val="20"/>
          <w:lang w:val="mk-MK"/>
        </w:rPr>
        <w:t xml:space="preserve">: </w:t>
      </w:r>
      <w:proofErr w:type="spellStart"/>
      <w:r w:rsidRPr="008D7A28">
        <w:rPr>
          <w:rFonts w:ascii="Verdana" w:eastAsia="Times New Roman" w:hAnsi="Verdana" w:cs="Times New Roman"/>
          <w:b/>
          <w:color w:val="000000"/>
          <w:sz w:val="20"/>
          <w:szCs w:val="20"/>
        </w:rPr>
        <w:t>Морталитет</w:t>
      </w:r>
      <w:proofErr w:type="spellEnd"/>
      <w:r w:rsidRPr="008D7A2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proofErr w:type="spellStart"/>
      <w:r w:rsidRPr="008D7A28">
        <w:rPr>
          <w:rFonts w:ascii="Verdana" w:eastAsia="Times New Roman" w:hAnsi="Verdana" w:cs="Times New Roman"/>
          <w:b/>
          <w:color w:val="000000"/>
          <w:sz w:val="20"/>
          <w:szCs w:val="20"/>
        </w:rPr>
        <w:t>од</w:t>
      </w:r>
      <w:proofErr w:type="spellEnd"/>
      <w:r w:rsidRPr="008D7A2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proofErr w:type="spellStart"/>
      <w:r w:rsidRPr="008D7A28">
        <w:rPr>
          <w:rFonts w:ascii="Verdana" w:eastAsia="Times New Roman" w:hAnsi="Verdana" w:cs="Times New Roman"/>
          <w:b/>
          <w:color w:val="000000"/>
          <w:sz w:val="20"/>
          <w:szCs w:val="20"/>
        </w:rPr>
        <w:t>циркулаторни</w:t>
      </w:r>
      <w:proofErr w:type="spellEnd"/>
      <w:r w:rsidRPr="008D7A2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proofErr w:type="spellStart"/>
      <w:r w:rsidRPr="008D7A28">
        <w:rPr>
          <w:rFonts w:ascii="Verdana" w:eastAsia="Times New Roman" w:hAnsi="Verdana" w:cs="Times New Roman"/>
          <w:b/>
          <w:color w:val="000000"/>
          <w:sz w:val="20"/>
          <w:szCs w:val="20"/>
        </w:rPr>
        <w:t>заболувања</w:t>
      </w:r>
      <w:proofErr w:type="spellEnd"/>
      <w:r w:rsidRPr="008D7A2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proofErr w:type="spellStart"/>
      <w:r w:rsidRPr="008D7A28">
        <w:rPr>
          <w:rFonts w:ascii="Verdana" w:eastAsia="Times New Roman" w:hAnsi="Verdana" w:cs="Times New Roman"/>
          <w:b/>
          <w:color w:val="000000"/>
          <w:sz w:val="20"/>
          <w:szCs w:val="20"/>
        </w:rPr>
        <w:t>во</w:t>
      </w:r>
      <w:proofErr w:type="spellEnd"/>
      <w:r w:rsidRPr="008D7A2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Р.</w:t>
      </w:r>
      <w:r w:rsidR="00AB328A">
        <w:rPr>
          <w:rFonts w:ascii="Verdana" w:eastAsia="Times New Roman" w:hAnsi="Verdana" w:cs="Times New Roman"/>
          <w:b/>
          <w:color w:val="000000"/>
          <w:sz w:val="20"/>
          <w:szCs w:val="20"/>
          <w:lang w:val="mk-MK"/>
        </w:rPr>
        <w:t>С.</w:t>
      </w:r>
      <w:proofErr w:type="spellStart"/>
      <w:r w:rsidRPr="008D7A28">
        <w:rPr>
          <w:rFonts w:ascii="Verdana" w:eastAsia="Times New Roman" w:hAnsi="Verdana" w:cs="Times New Roman"/>
          <w:b/>
          <w:color w:val="000000"/>
          <w:sz w:val="20"/>
          <w:szCs w:val="20"/>
        </w:rPr>
        <w:t>Македонија</w:t>
      </w:r>
      <w:proofErr w:type="spellEnd"/>
      <w:r w:rsidRPr="008D7A2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</w:p>
    <w:p w:rsidR="00074590" w:rsidRPr="008D7A28" w:rsidRDefault="00074590" w:rsidP="00074590">
      <w:pPr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val="mk-MK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val="mk-MK"/>
        </w:rPr>
        <w:t xml:space="preserve">                     </w:t>
      </w:r>
      <w:proofErr w:type="spellStart"/>
      <w:proofErr w:type="gramStart"/>
      <w:r w:rsidRPr="008D7A28">
        <w:rPr>
          <w:rFonts w:ascii="Verdana" w:eastAsia="Times New Roman" w:hAnsi="Verdana" w:cs="Times New Roman"/>
          <w:b/>
          <w:color w:val="000000"/>
          <w:sz w:val="20"/>
          <w:szCs w:val="20"/>
        </w:rPr>
        <w:t>по</w:t>
      </w:r>
      <w:proofErr w:type="spellEnd"/>
      <w:proofErr w:type="gramEnd"/>
      <w:r w:rsidRPr="008D7A2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Pr="008D7A28">
        <w:rPr>
          <w:rFonts w:ascii="Verdana" w:eastAsia="Times New Roman" w:hAnsi="Verdana" w:cs="Times New Roman"/>
          <w:b/>
          <w:color w:val="000000"/>
          <w:sz w:val="20"/>
          <w:szCs w:val="20"/>
          <w:lang w:val="mk-MK"/>
        </w:rPr>
        <w:t>пол</w:t>
      </w:r>
      <w:r w:rsidRPr="008D7A28">
        <w:rPr>
          <w:rFonts w:ascii="Verdana" w:eastAsia="Times New Roman" w:hAnsi="Verdana" w:cs="Times New Roman"/>
          <w:b/>
          <w:color w:val="000000"/>
          <w:sz w:val="20"/>
          <w:szCs w:val="20"/>
        </w:rPr>
        <w:t>,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val="mk-MK"/>
        </w:rPr>
        <w:t xml:space="preserve"> </w:t>
      </w:r>
      <w:r w:rsidRPr="008D7A28">
        <w:rPr>
          <w:rFonts w:ascii="Verdana" w:eastAsia="Times New Roman" w:hAnsi="Verdana" w:cs="Times New Roman"/>
          <w:b/>
          <w:color w:val="000000"/>
          <w:sz w:val="20"/>
          <w:szCs w:val="20"/>
        </w:rPr>
        <w:t>2010-201</w:t>
      </w:r>
      <w:r w:rsidR="005B6435">
        <w:rPr>
          <w:rFonts w:ascii="Verdana" w:eastAsia="Times New Roman" w:hAnsi="Verdana" w:cs="Times New Roman"/>
          <w:b/>
          <w:color w:val="000000"/>
          <w:sz w:val="20"/>
          <w:szCs w:val="20"/>
          <w:lang w:val="mk-MK"/>
        </w:rPr>
        <w:t>9</w:t>
      </w:r>
      <w:r w:rsidRPr="008D7A2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proofErr w:type="spellStart"/>
      <w:r w:rsidRPr="008D7A28">
        <w:rPr>
          <w:rFonts w:ascii="Verdana" w:eastAsia="Times New Roman" w:hAnsi="Verdana" w:cs="Times New Roman"/>
          <w:b/>
          <w:color w:val="000000"/>
          <w:sz w:val="20"/>
          <w:szCs w:val="20"/>
        </w:rPr>
        <w:t>година</w:t>
      </w:r>
      <w:proofErr w:type="spellEnd"/>
    </w:p>
    <w:p w:rsidR="00074590" w:rsidRDefault="00074590" w:rsidP="00074590">
      <w:pPr>
        <w:jc w:val="both"/>
        <w:rPr>
          <w:rFonts w:ascii="Verdana" w:hAnsi="Verdana" w:cs="Arial"/>
          <w:b/>
        </w:rPr>
      </w:pPr>
    </w:p>
    <w:p w:rsidR="00074590" w:rsidRPr="001A4A6F" w:rsidRDefault="005B6435" w:rsidP="00074590">
      <w:pPr>
        <w:jc w:val="both"/>
        <w:rPr>
          <w:rFonts w:ascii="Verdana" w:hAnsi="Verdana" w:cs="Arial"/>
          <w:b/>
        </w:rPr>
      </w:pPr>
      <w:r w:rsidRPr="005B6435">
        <w:rPr>
          <w:rFonts w:ascii="Verdana" w:hAnsi="Verdana" w:cs="Arial"/>
          <w:b/>
          <w:noProof/>
          <w:lang w:val="mk-MK" w:eastAsia="mk-MK"/>
        </w:rPr>
        <w:drawing>
          <wp:inline distT="0" distB="0" distL="0" distR="0">
            <wp:extent cx="5943600" cy="2513965"/>
            <wp:effectExtent l="114300" t="38100" r="19050" b="19685"/>
            <wp:docPr id="15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74590" w:rsidRDefault="00074590" w:rsidP="00074590">
      <w:pPr>
        <w:jc w:val="both"/>
        <w:rPr>
          <w:rFonts w:ascii="Verdana" w:hAnsi="Verdana" w:cs="Arial"/>
        </w:rPr>
      </w:pPr>
    </w:p>
    <w:p w:rsidR="00074590" w:rsidRPr="0091230D" w:rsidRDefault="00074590" w:rsidP="00074590">
      <w:pPr>
        <w:jc w:val="both"/>
        <w:rPr>
          <w:rFonts w:ascii="Verdana" w:hAnsi="Verdana" w:cs="Arial"/>
          <w:lang w:val="mk-MK"/>
        </w:rPr>
      </w:pPr>
    </w:p>
    <w:p w:rsidR="00074590" w:rsidRPr="00586257" w:rsidRDefault="00074590" w:rsidP="00074590">
      <w:pPr>
        <w:jc w:val="both"/>
        <w:rPr>
          <w:rFonts w:ascii="Verdana" w:hAnsi="Verdana" w:cs="Arial"/>
          <w:sz w:val="20"/>
          <w:szCs w:val="20"/>
          <w:lang w:val="mk-MK"/>
        </w:rPr>
      </w:pPr>
      <w:r w:rsidRPr="00586257">
        <w:rPr>
          <w:rFonts w:ascii="Verdana" w:hAnsi="Verdana" w:cs="Arial"/>
          <w:sz w:val="20"/>
          <w:szCs w:val="20"/>
          <w:lang w:val="mk-MK"/>
        </w:rPr>
        <w:t>Стапката на смртност од исхемични болести на срцето во периодот 2010-201</w:t>
      </w:r>
      <w:r w:rsidR="005B6435">
        <w:rPr>
          <w:rFonts w:ascii="Verdana" w:hAnsi="Verdana" w:cs="Arial"/>
          <w:sz w:val="20"/>
          <w:szCs w:val="20"/>
          <w:lang w:val="mk-MK"/>
        </w:rPr>
        <w:t>9</w:t>
      </w:r>
      <w:r w:rsidRPr="00586257">
        <w:rPr>
          <w:rFonts w:ascii="Verdana" w:hAnsi="Verdana" w:cs="Arial"/>
          <w:sz w:val="20"/>
          <w:szCs w:val="20"/>
          <w:lang w:val="mk-MK"/>
        </w:rPr>
        <w:t xml:space="preserve"> година е повисока кај машката популација (дијаграм </w:t>
      </w:r>
      <w:r>
        <w:rPr>
          <w:rFonts w:ascii="Verdana" w:hAnsi="Verdana" w:cs="Arial"/>
          <w:sz w:val="20"/>
          <w:szCs w:val="20"/>
          <w:lang w:val="mk-MK"/>
        </w:rPr>
        <w:t>7</w:t>
      </w:r>
      <w:r w:rsidRPr="00586257">
        <w:rPr>
          <w:rFonts w:ascii="Verdana" w:hAnsi="Verdana" w:cs="Arial"/>
          <w:sz w:val="20"/>
          <w:szCs w:val="20"/>
          <w:lang w:val="mk-MK"/>
        </w:rPr>
        <w:t xml:space="preserve">), додека стапката на смртност од цереброваскуларни заболувања е повисока кај женската поулација (дијаграм </w:t>
      </w:r>
      <w:r>
        <w:rPr>
          <w:rFonts w:ascii="Verdana" w:hAnsi="Verdana" w:cs="Arial"/>
          <w:sz w:val="20"/>
          <w:szCs w:val="20"/>
          <w:lang w:val="mk-MK"/>
        </w:rPr>
        <w:t>8</w:t>
      </w:r>
      <w:r w:rsidRPr="00586257">
        <w:rPr>
          <w:rFonts w:ascii="Verdana" w:hAnsi="Verdana" w:cs="Arial"/>
          <w:sz w:val="20"/>
          <w:szCs w:val="20"/>
          <w:lang w:val="mk-MK"/>
        </w:rPr>
        <w:t>).</w:t>
      </w:r>
    </w:p>
    <w:p w:rsidR="00074590" w:rsidRPr="00586257" w:rsidRDefault="00074590" w:rsidP="00074590">
      <w:pPr>
        <w:jc w:val="both"/>
        <w:rPr>
          <w:rFonts w:ascii="Verdana" w:hAnsi="Verdana" w:cs="Arial"/>
          <w:sz w:val="20"/>
          <w:szCs w:val="20"/>
          <w:lang w:val="mk-MK"/>
        </w:rPr>
      </w:pPr>
    </w:p>
    <w:p w:rsidR="00074590" w:rsidRDefault="00074590" w:rsidP="00074590">
      <w:pPr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val="mk-MK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val="mk-MK"/>
        </w:rPr>
        <w:t xml:space="preserve"> </w:t>
      </w:r>
      <w:r w:rsidRPr="00586257">
        <w:rPr>
          <w:rFonts w:ascii="Verdana" w:eastAsia="Times New Roman" w:hAnsi="Verdana" w:cs="Times New Roman"/>
          <w:b/>
          <w:color w:val="000000"/>
          <w:sz w:val="20"/>
          <w:szCs w:val="20"/>
          <w:lang w:val="mk-MK"/>
        </w:rPr>
        <w:t xml:space="preserve">Дијаграм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val="mk-MK"/>
        </w:rPr>
        <w:t>7</w:t>
      </w:r>
      <w:r w:rsidRPr="00586257">
        <w:rPr>
          <w:rFonts w:ascii="Verdana" w:eastAsia="Times New Roman" w:hAnsi="Verdana" w:cs="Times New Roman"/>
          <w:b/>
          <w:color w:val="000000"/>
          <w:sz w:val="20"/>
          <w:szCs w:val="20"/>
          <w:lang w:val="mk-MK"/>
        </w:rPr>
        <w:t xml:space="preserve">: </w:t>
      </w:r>
      <w:proofErr w:type="spellStart"/>
      <w:r w:rsidRPr="00586257">
        <w:rPr>
          <w:rFonts w:ascii="Verdana" w:eastAsia="Times New Roman" w:hAnsi="Verdana" w:cs="Times New Roman"/>
          <w:b/>
          <w:color w:val="000000"/>
          <w:sz w:val="20"/>
          <w:szCs w:val="20"/>
        </w:rPr>
        <w:t>Морталитет</w:t>
      </w:r>
      <w:proofErr w:type="spellEnd"/>
      <w:r w:rsidRPr="00586257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proofErr w:type="spellStart"/>
      <w:r w:rsidRPr="00586257">
        <w:rPr>
          <w:rFonts w:ascii="Verdana" w:eastAsia="Times New Roman" w:hAnsi="Verdana" w:cs="Times New Roman"/>
          <w:b/>
          <w:color w:val="000000"/>
          <w:sz w:val="20"/>
          <w:szCs w:val="20"/>
        </w:rPr>
        <w:t>од</w:t>
      </w:r>
      <w:proofErr w:type="spellEnd"/>
      <w:r w:rsidRPr="00586257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Pr="00586257">
        <w:rPr>
          <w:rFonts w:ascii="Verdana" w:eastAsia="Times New Roman" w:hAnsi="Verdana" w:cs="Times New Roman"/>
          <w:b/>
          <w:color w:val="000000"/>
          <w:sz w:val="20"/>
          <w:szCs w:val="20"/>
          <w:lang w:val="mk-MK"/>
        </w:rPr>
        <w:t>исхемични болести на срцето</w:t>
      </w:r>
      <w:r w:rsidRPr="00586257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proofErr w:type="spellStart"/>
      <w:r w:rsidRPr="00586257">
        <w:rPr>
          <w:rFonts w:ascii="Verdana" w:eastAsia="Times New Roman" w:hAnsi="Verdana" w:cs="Times New Roman"/>
          <w:b/>
          <w:color w:val="000000"/>
          <w:sz w:val="20"/>
          <w:szCs w:val="20"/>
        </w:rPr>
        <w:t>во</w:t>
      </w:r>
      <w:proofErr w:type="spellEnd"/>
      <w:r w:rsidRPr="00586257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Р.</w:t>
      </w:r>
      <w:r w:rsidR="00AB328A">
        <w:rPr>
          <w:rFonts w:ascii="Verdana" w:eastAsia="Times New Roman" w:hAnsi="Verdana" w:cs="Times New Roman"/>
          <w:b/>
          <w:color w:val="000000"/>
          <w:sz w:val="20"/>
          <w:szCs w:val="20"/>
          <w:lang w:val="mk-MK"/>
        </w:rPr>
        <w:t>С.</w:t>
      </w:r>
      <w:proofErr w:type="spellStart"/>
      <w:r w:rsidRPr="00586257">
        <w:rPr>
          <w:rFonts w:ascii="Verdana" w:eastAsia="Times New Roman" w:hAnsi="Verdana" w:cs="Times New Roman"/>
          <w:b/>
          <w:color w:val="000000"/>
          <w:sz w:val="20"/>
          <w:szCs w:val="20"/>
        </w:rPr>
        <w:t>Македонија</w:t>
      </w:r>
      <w:proofErr w:type="spellEnd"/>
      <w:r w:rsidRPr="00586257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</w:p>
    <w:p w:rsidR="00074590" w:rsidRPr="00D43670" w:rsidRDefault="00074590" w:rsidP="00074590">
      <w:pPr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val="mk-MK"/>
        </w:rPr>
        <w:t xml:space="preserve">                      </w:t>
      </w:r>
      <w:proofErr w:type="spellStart"/>
      <w:proofErr w:type="gramStart"/>
      <w:r w:rsidRPr="00586257">
        <w:rPr>
          <w:rFonts w:ascii="Verdana" w:eastAsia="Times New Roman" w:hAnsi="Verdana" w:cs="Times New Roman"/>
          <w:b/>
          <w:color w:val="000000"/>
          <w:sz w:val="20"/>
          <w:szCs w:val="20"/>
        </w:rPr>
        <w:t>по</w:t>
      </w:r>
      <w:proofErr w:type="spellEnd"/>
      <w:proofErr w:type="gramEnd"/>
      <w:r w:rsidRPr="00586257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Pr="00586257">
        <w:rPr>
          <w:rFonts w:ascii="Verdana" w:eastAsia="Times New Roman" w:hAnsi="Verdana" w:cs="Times New Roman"/>
          <w:b/>
          <w:color w:val="000000"/>
          <w:sz w:val="20"/>
          <w:szCs w:val="20"/>
          <w:lang w:val="mk-MK"/>
        </w:rPr>
        <w:t>пол</w:t>
      </w:r>
      <w:r w:rsidRPr="00586257">
        <w:rPr>
          <w:rFonts w:ascii="Verdana" w:eastAsia="Times New Roman" w:hAnsi="Verdana" w:cs="Times New Roman"/>
          <w:b/>
          <w:color w:val="000000"/>
          <w:sz w:val="20"/>
          <w:szCs w:val="20"/>
        </w:rPr>
        <w:t>,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val="mk-MK"/>
        </w:rPr>
        <w:t xml:space="preserve"> </w:t>
      </w:r>
      <w:r w:rsidRPr="00586257">
        <w:rPr>
          <w:rFonts w:ascii="Verdana" w:eastAsia="Times New Roman" w:hAnsi="Verdana" w:cs="Times New Roman"/>
          <w:b/>
          <w:color w:val="000000"/>
          <w:sz w:val="20"/>
          <w:szCs w:val="20"/>
        </w:rPr>
        <w:t>2010-201</w:t>
      </w:r>
      <w:r w:rsidR="005B6435">
        <w:rPr>
          <w:rFonts w:ascii="Verdana" w:eastAsia="Times New Roman" w:hAnsi="Verdana" w:cs="Times New Roman"/>
          <w:b/>
          <w:color w:val="000000"/>
          <w:sz w:val="20"/>
          <w:szCs w:val="20"/>
          <w:lang w:val="mk-MK"/>
        </w:rPr>
        <w:t>9</w:t>
      </w:r>
      <w:r w:rsidRPr="00586257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proofErr w:type="spellStart"/>
      <w:r w:rsidRPr="00586257">
        <w:rPr>
          <w:rFonts w:ascii="Verdana" w:eastAsia="Times New Roman" w:hAnsi="Verdana" w:cs="Times New Roman"/>
          <w:b/>
          <w:color w:val="000000"/>
          <w:sz w:val="20"/>
          <w:szCs w:val="20"/>
        </w:rPr>
        <w:t>година</w:t>
      </w:r>
      <w:proofErr w:type="spellEnd"/>
    </w:p>
    <w:p w:rsidR="00074590" w:rsidRDefault="00074590" w:rsidP="00074590">
      <w:pPr>
        <w:jc w:val="both"/>
        <w:rPr>
          <w:rFonts w:ascii="Verdana" w:hAnsi="Verdana" w:cs="Arial"/>
          <w:lang w:val="mk-MK"/>
        </w:rPr>
      </w:pPr>
    </w:p>
    <w:p w:rsidR="00074590" w:rsidRDefault="005B6435" w:rsidP="00074590">
      <w:pPr>
        <w:jc w:val="both"/>
        <w:rPr>
          <w:rFonts w:ascii="Verdana" w:hAnsi="Verdana" w:cs="Arial"/>
          <w:lang w:val="mk-MK"/>
        </w:rPr>
      </w:pPr>
      <w:r w:rsidRPr="005B6435">
        <w:rPr>
          <w:rFonts w:ascii="Verdana" w:hAnsi="Verdana" w:cs="Arial"/>
          <w:noProof/>
          <w:lang w:val="mk-MK" w:eastAsia="mk-MK"/>
        </w:rPr>
        <w:drawing>
          <wp:inline distT="0" distB="0" distL="0" distR="0">
            <wp:extent cx="5943600" cy="2530475"/>
            <wp:effectExtent l="114300" t="38100" r="19050" b="22225"/>
            <wp:docPr id="17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74590" w:rsidRDefault="00074590" w:rsidP="00074590">
      <w:pPr>
        <w:jc w:val="both"/>
        <w:rPr>
          <w:rFonts w:ascii="Verdana" w:hAnsi="Verdana" w:cs="Arial"/>
          <w:lang w:val="mk-MK"/>
        </w:rPr>
      </w:pPr>
    </w:p>
    <w:p w:rsidR="00F2562D" w:rsidRDefault="00F2562D" w:rsidP="00074590">
      <w:pPr>
        <w:jc w:val="both"/>
        <w:rPr>
          <w:rFonts w:ascii="Verdana" w:hAnsi="Verdana" w:cs="Arial"/>
          <w:lang w:val="mk-MK"/>
        </w:rPr>
      </w:pPr>
    </w:p>
    <w:p w:rsidR="00F2562D" w:rsidRDefault="00F2562D" w:rsidP="00074590">
      <w:pPr>
        <w:jc w:val="both"/>
        <w:rPr>
          <w:rFonts w:ascii="Verdana" w:hAnsi="Verdana" w:cs="Arial"/>
        </w:rPr>
      </w:pPr>
    </w:p>
    <w:p w:rsidR="00D43670" w:rsidRDefault="00D43670" w:rsidP="00074590">
      <w:pPr>
        <w:jc w:val="both"/>
        <w:rPr>
          <w:rFonts w:ascii="Verdana" w:hAnsi="Verdana" w:cs="Arial"/>
        </w:rPr>
      </w:pPr>
    </w:p>
    <w:p w:rsidR="00D43670" w:rsidRPr="00D43670" w:rsidRDefault="00D43670" w:rsidP="00074590">
      <w:pPr>
        <w:jc w:val="both"/>
        <w:rPr>
          <w:rFonts w:ascii="Verdana" w:hAnsi="Verdana" w:cs="Arial"/>
        </w:rPr>
      </w:pPr>
    </w:p>
    <w:p w:rsidR="00074590" w:rsidRDefault="00074590" w:rsidP="00074590">
      <w:pPr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val="mk-MK"/>
        </w:rPr>
      </w:pPr>
      <w:r w:rsidRPr="00586257">
        <w:rPr>
          <w:rFonts w:ascii="Verdana" w:eastAsia="Times New Roman" w:hAnsi="Verdana" w:cs="Times New Roman"/>
          <w:b/>
          <w:color w:val="000000"/>
          <w:sz w:val="20"/>
          <w:szCs w:val="20"/>
          <w:lang w:val="mk-MK"/>
        </w:rPr>
        <w:t xml:space="preserve">Дијаграм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val="mk-MK"/>
        </w:rPr>
        <w:t>8</w:t>
      </w:r>
      <w:r w:rsidRPr="00586257">
        <w:rPr>
          <w:rFonts w:ascii="Verdana" w:eastAsia="Times New Roman" w:hAnsi="Verdana" w:cs="Times New Roman"/>
          <w:b/>
          <w:color w:val="000000"/>
          <w:sz w:val="20"/>
          <w:szCs w:val="20"/>
          <w:lang w:val="mk-MK"/>
        </w:rPr>
        <w:t xml:space="preserve">: </w:t>
      </w:r>
      <w:proofErr w:type="spellStart"/>
      <w:r w:rsidRPr="00586257">
        <w:rPr>
          <w:rFonts w:ascii="Verdana" w:eastAsia="Times New Roman" w:hAnsi="Verdana" w:cs="Times New Roman"/>
          <w:b/>
          <w:color w:val="000000"/>
          <w:sz w:val="20"/>
          <w:szCs w:val="20"/>
        </w:rPr>
        <w:t>Морталитет</w:t>
      </w:r>
      <w:proofErr w:type="spellEnd"/>
      <w:r w:rsidRPr="00586257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proofErr w:type="spellStart"/>
      <w:r w:rsidRPr="00586257">
        <w:rPr>
          <w:rFonts w:ascii="Verdana" w:eastAsia="Times New Roman" w:hAnsi="Verdana" w:cs="Times New Roman"/>
          <w:b/>
          <w:color w:val="000000"/>
          <w:sz w:val="20"/>
          <w:szCs w:val="20"/>
        </w:rPr>
        <w:t>од</w:t>
      </w:r>
      <w:proofErr w:type="spellEnd"/>
      <w:r w:rsidRPr="00586257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Pr="00586257">
        <w:rPr>
          <w:rFonts w:ascii="Verdana" w:eastAsia="Times New Roman" w:hAnsi="Verdana" w:cs="Times New Roman"/>
          <w:b/>
          <w:color w:val="000000"/>
          <w:sz w:val="20"/>
          <w:szCs w:val="20"/>
          <w:lang w:val="mk-MK"/>
        </w:rPr>
        <w:t>цереброваскуларни болести</w:t>
      </w:r>
      <w:r w:rsidRPr="00586257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proofErr w:type="spellStart"/>
      <w:r w:rsidRPr="00586257">
        <w:rPr>
          <w:rFonts w:ascii="Verdana" w:eastAsia="Times New Roman" w:hAnsi="Verdana" w:cs="Times New Roman"/>
          <w:b/>
          <w:color w:val="000000"/>
          <w:sz w:val="20"/>
          <w:szCs w:val="20"/>
        </w:rPr>
        <w:t>во</w:t>
      </w:r>
      <w:proofErr w:type="spellEnd"/>
      <w:r w:rsidRPr="00586257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Р.</w:t>
      </w:r>
      <w:r w:rsidR="00AB328A">
        <w:rPr>
          <w:rFonts w:ascii="Verdana" w:eastAsia="Times New Roman" w:hAnsi="Verdana" w:cs="Times New Roman"/>
          <w:b/>
          <w:color w:val="000000"/>
          <w:sz w:val="20"/>
          <w:szCs w:val="20"/>
          <w:lang w:val="mk-MK"/>
        </w:rPr>
        <w:t>С.</w:t>
      </w:r>
      <w:proofErr w:type="spellStart"/>
      <w:r w:rsidRPr="00586257">
        <w:rPr>
          <w:rFonts w:ascii="Verdana" w:eastAsia="Times New Roman" w:hAnsi="Verdana" w:cs="Times New Roman"/>
          <w:b/>
          <w:color w:val="000000"/>
          <w:sz w:val="20"/>
          <w:szCs w:val="20"/>
        </w:rPr>
        <w:t>Македонија</w:t>
      </w:r>
      <w:proofErr w:type="spellEnd"/>
      <w:r w:rsidRPr="00586257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</w:p>
    <w:p w:rsidR="00074590" w:rsidRPr="00586257" w:rsidRDefault="00074590" w:rsidP="00074590">
      <w:pPr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val="mk-MK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val="mk-MK"/>
        </w:rPr>
        <w:t xml:space="preserve">                     </w:t>
      </w:r>
      <w:proofErr w:type="spellStart"/>
      <w:proofErr w:type="gramStart"/>
      <w:r w:rsidRPr="00586257">
        <w:rPr>
          <w:rFonts w:ascii="Verdana" w:eastAsia="Times New Roman" w:hAnsi="Verdana" w:cs="Times New Roman"/>
          <w:b/>
          <w:color w:val="000000"/>
          <w:sz w:val="20"/>
          <w:szCs w:val="20"/>
        </w:rPr>
        <w:t>по</w:t>
      </w:r>
      <w:proofErr w:type="spellEnd"/>
      <w:proofErr w:type="gramEnd"/>
      <w:r w:rsidRPr="00586257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Pr="00586257">
        <w:rPr>
          <w:rFonts w:ascii="Verdana" w:eastAsia="Times New Roman" w:hAnsi="Verdana" w:cs="Times New Roman"/>
          <w:b/>
          <w:color w:val="000000"/>
          <w:sz w:val="20"/>
          <w:szCs w:val="20"/>
          <w:lang w:val="mk-MK"/>
        </w:rPr>
        <w:t>пол</w:t>
      </w:r>
      <w:r w:rsidRPr="00586257">
        <w:rPr>
          <w:rFonts w:ascii="Verdana" w:eastAsia="Times New Roman" w:hAnsi="Verdana" w:cs="Times New Roman"/>
          <w:b/>
          <w:color w:val="000000"/>
          <w:sz w:val="20"/>
          <w:szCs w:val="20"/>
        </w:rPr>
        <w:t>,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val="mk-MK"/>
        </w:rPr>
        <w:t xml:space="preserve"> </w:t>
      </w:r>
      <w:r w:rsidRPr="00586257">
        <w:rPr>
          <w:rFonts w:ascii="Verdana" w:eastAsia="Times New Roman" w:hAnsi="Verdana" w:cs="Times New Roman"/>
          <w:b/>
          <w:color w:val="000000"/>
          <w:sz w:val="20"/>
          <w:szCs w:val="20"/>
        </w:rPr>
        <w:t>2010-201</w:t>
      </w:r>
      <w:r w:rsidR="00B26696">
        <w:rPr>
          <w:rFonts w:ascii="Verdana" w:eastAsia="Times New Roman" w:hAnsi="Verdana" w:cs="Times New Roman"/>
          <w:b/>
          <w:color w:val="000000"/>
          <w:sz w:val="20"/>
          <w:szCs w:val="20"/>
          <w:lang w:val="mk-MK"/>
        </w:rPr>
        <w:t>9</w:t>
      </w:r>
      <w:r w:rsidRPr="00586257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proofErr w:type="spellStart"/>
      <w:r w:rsidRPr="00586257">
        <w:rPr>
          <w:rFonts w:ascii="Verdana" w:eastAsia="Times New Roman" w:hAnsi="Verdana" w:cs="Times New Roman"/>
          <w:b/>
          <w:color w:val="000000"/>
          <w:sz w:val="20"/>
          <w:szCs w:val="20"/>
        </w:rPr>
        <w:t>година</w:t>
      </w:r>
      <w:proofErr w:type="spellEnd"/>
    </w:p>
    <w:p w:rsidR="00074590" w:rsidRPr="005A5D65" w:rsidRDefault="00074590" w:rsidP="00074590">
      <w:pPr>
        <w:jc w:val="both"/>
        <w:rPr>
          <w:rFonts w:ascii="Verdana" w:hAnsi="Verdana" w:cs="Arial"/>
          <w:lang w:val="mk-MK"/>
        </w:rPr>
      </w:pPr>
    </w:p>
    <w:p w:rsidR="00074590" w:rsidRDefault="00B26696" w:rsidP="00074590">
      <w:pPr>
        <w:jc w:val="both"/>
        <w:rPr>
          <w:rFonts w:ascii="Verdana" w:hAnsi="Verdana" w:cs="Arial"/>
        </w:rPr>
      </w:pPr>
      <w:r w:rsidRPr="00B26696">
        <w:rPr>
          <w:rFonts w:ascii="Verdana" w:hAnsi="Verdana" w:cs="Arial"/>
          <w:noProof/>
          <w:lang w:val="mk-MK" w:eastAsia="mk-MK"/>
        </w:rPr>
        <w:drawing>
          <wp:inline distT="0" distB="0" distL="0" distR="0">
            <wp:extent cx="5943600" cy="2506345"/>
            <wp:effectExtent l="114300" t="38100" r="19050" b="27305"/>
            <wp:docPr id="18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74590" w:rsidRDefault="00074590" w:rsidP="00074590">
      <w:pPr>
        <w:jc w:val="both"/>
        <w:rPr>
          <w:rFonts w:ascii="Verdana" w:hAnsi="Verdana" w:cs="Arial"/>
          <w:lang w:val="mk-MK"/>
        </w:rPr>
      </w:pPr>
    </w:p>
    <w:p w:rsidR="00074590" w:rsidRPr="00E108F3" w:rsidRDefault="00074590" w:rsidP="00074590">
      <w:pPr>
        <w:jc w:val="both"/>
        <w:rPr>
          <w:rFonts w:ascii="Verdana" w:hAnsi="Verdana" w:cs="Arial"/>
          <w:sz w:val="20"/>
          <w:szCs w:val="20"/>
          <w:lang w:val="mk-MK"/>
        </w:rPr>
      </w:pPr>
      <w:r>
        <w:rPr>
          <w:rFonts w:ascii="Verdana" w:hAnsi="Verdana" w:cs="Arial"/>
          <w:sz w:val="20"/>
          <w:szCs w:val="20"/>
          <w:lang w:val="mk-MK"/>
        </w:rPr>
        <w:t>Во периодот 2010-201</w:t>
      </w:r>
      <w:r w:rsidR="001C2074">
        <w:rPr>
          <w:rFonts w:ascii="Verdana" w:hAnsi="Verdana" w:cs="Arial"/>
          <w:sz w:val="20"/>
          <w:szCs w:val="20"/>
          <w:lang w:val="mk-MK"/>
        </w:rPr>
        <w:t>9</w:t>
      </w:r>
      <w:r>
        <w:rPr>
          <w:rFonts w:ascii="Verdana" w:hAnsi="Verdana" w:cs="Arial"/>
          <w:sz w:val="20"/>
          <w:szCs w:val="20"/>
          <w:lang w:val="mk-MK"/>
        </w:rPr>
        <w:t xml:space="preserve"> година во Р.</w:t>
      </w:r>
      <w:r w:rsidR="00AB328A">
        <w:rPr>
          <w:rFonts w:ascii="Verdana" w:hAnsi="Verdana" w:cs="Arial"/>
          <w:sz w:val="20"/>
          <w:szCs w:val="20"/>
          <w:lang w:val="mk-MK"/>
        </w:rPr>
        <w:t>С.</w:t>
      </w:r>
      <w:r>
        <w:rPr>
          <w:rFonts w:ascii="Verdana" w:hAnsi="Verdana" w:cs="Arial"/>
          <w:sz w:val="20"/>
          <w:szCs w:val="20"/>
          <w:lang w:val="mk-MK"/>
        </w:rPr>
        <w:t>Македонија акутниот миокарден инфаркт учествувал со околу 9</w:t>
      </w:r>
      <w:r w:rsidR="001C2074">
        <w:rPr>
          <w:rFonts w:ascii="Verdana" w:hAnsi="Verdana" w:cs="Arial"/>
          <w:sz w:val="20"/>
          <w:szCs w:val="20"/>
          <w:lang w:val="mk-MK"/>
        </w:rPr>
        <w:t>1</w:t>
      </w:r>
      <w:r>
        <w:rPr>
          <w:rFonts w:ascii="Verdana" w:hAnsi="Verdana" w:cs="Arial"/>
          <w:sz w:val="20"/>
          <w:szCs w:val="20"/>
          <w:lang w:val="mk-MK"/>
        </w:rPr>
        <w:t>,</w:t>
      </w:r>
      <w:r w:rsidR="001C2074">
        <w:rPr>
          <w:rFonts w:ascii="Verdana" w:hAnsi="Verdana" w:cs="Arial"/>
          <w:sz w:val="20"/>
          <w:szCs w:val="20"/>
          <w:lang w:val="mk-MK"/>
        </w:rPr>
        <w:t>8</w:t>
      </w:r>
      <w:r>
        <w:rPr>
          <w:rFonts w:ascii="Verdana" w:hAnsi="Verdana" w:cs="Arial"/>
          <w:sz w:val="20"/>
          <w:szCs w:val="20"/>
          <w:lang w:val="mk-MK"/>
        </w:rPr>
        <w:t>% во исхемичните болести на срцето, а церебралниот инфаркт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  <w:lang w:val="mk-MK"/>
        </w:rPr>
        <w:t>и шлогот, неозначен како крварење или инфаркт со околу 8</w:t>
      </w:r>
      <w:r w:rsidR="001C2074">
        <w:rPr>
          <w:rFonts w:ascii="Verdana" w:hAnsi="Verdana" w:cs="Arial"/>
          <w:sz w:val="20"/>
          <w:szCs w:val="20"/>
          <w:lang w:val="mk-MK"/>
        </w:rPr>
        <w:t>8</w:t>
      </w:r>
      <w:r>
        <w:rPr>
          <w:rFonts w:ascii="Verdana" w:hAnsi="Verdana" w:cs="Arial"/>
          <w:sz w:val="20"/>
          <w:szCs w:val="20"/>
          <w:lang w:val="mk-MK"/>
        </w:rPr>
        <w:t>,</w:t>
      </w:r>
      <w:r w:rsidR="001C2074">
        <w:rPr>
          <w:rFonts w:ascii="Verdana" w:hAnsi="Verdana" w:cs="Arial"/>
          <w:sz w:val="20"/>
          <w:szCs w:val="20"/>
          <w:lang w:val="mk-MK"/>
        </w:rPr>
        <w:t>6</w:t>
      </w:r>
      <w:r>
        <w:rPr>
          <w:rFonts w:ascii="Verdana" w:hAnsi="Verdana" w:cs="Arial"/>
          <w:sz w:val="20"/>
          <w:szCs w:val="20"/>
          <w:lang w:val="mk-MK"/>
        </w:rPr>
        <w:t>% во цереброваскуларните болести.</w:t>
      </w:r>
    </w:p>
    <w:p w:rsidR="006660FA" w:rsidRDefault="006660FA" w:rsidP="00074590">
      <w:pPr>
        <w:rPr>
          <w:rFonts w:ascii="Verdana" w:hAnsi="Verdana" w:cs="Arial"/>
          <w:i/>
          <w:sz w:val="16"/>
          <w:szCs w:val="16"/>
          <w:lang w:val="mk-MK"/>
        </w:rPr>
      </w:pPr>
    </w:p>
    <w:p w:rsidR="006660FA" w:rsidRDefault="00A667D8" w:rsidP="006660FA">
      <w:pPr>
        <w:jc w:val="both"/>
        <w:rPr>
          <w:rFonts w:ascii="Verdana" w:hAnsi="Verdana" w:cs="Arial"/>
          <w:noProof/>
          <w:sz w:val="20"/>
          <w:szCs w:val="20"/>
        </w:rPr>
      </w:pPr>
      <w:r w:rsidRPr="00586257">
        <w:rPr>
          <w:rFonts w:ascii="Verdana" w:hAnsi="Verdana" w:cs="Arial"/>
          <w:noProof/>
          <w:sz w:val="20"/>
          <w:szCs w:val="20"/>
          <w:lang w:val="ru-RU"/>
        </w:rPr>
        <w:t xml:space="preserve">Според податоците од </w:t>
      </w:r>
      <w:r w:rsidRPr="00586257">
        <w:rPr>
          <w:rFonts w:ascii="Verdana" w:hAnsi="Verdana" w:cs="Arial"/>
          <w:noProof/>
          <w:sz w:val="20"/>
          <w:szCs w:val="20"/>
        </w:rPr>
        <w:t>HFA</w:t>
      </w:r>
      <w:r w:rsidRPr="00586257">
        <w:rPr>
          <w:rFonts w:ascii="Verdana" w:hAnsi="Verdana" w:cs="Arial"/>
          <w:noProof/>
          <w:sz w:val="20"/>
          <w:szCs w:val="20"/>
          <w:lang w:val="ru-RU"/>
        </w:rPr>
        <w:t xml:space="preserve"> датабазата на СЗО, во 201</w:t>
      </w:r>
      <w:r>
        <w:rPr>
          <w:rFonts w:ascii="Verdana" w:hAnsi="Verdana" w:cs="Arial"/>
          <w:noProof/>
          <w:sz w:val="20"/>
          <w:szCs w:val="20"/>
          <w:lang w:val="ru-RU"/>
        </w:rPr>
        <w:t>5</w:t>
      </w:r>
      <w:r w:rsidRPr="00586257">
        <w:rPr>
          <w:rFonts w:ascii="Verdana" w:hAnsi="Verdana" w:cs="Arial"/>
          <w:noProof/>
          <w:sz w:val="20"/>
          <w:szCs w:val="20"/>
          <w:lang w:val="ru-RU"/>
        </w:rPr>
        <w:t xml:space="preserve"> година стапката на морталитет од болести на циркулаторниот систем на 100 000 население се движела од 1</w:t>
      </w:r>
      <w:r>
        <w:rPr>
          <w:rFonts w:ascii="Verdana" w:hAnsi="Verdana" w:cs="Arial"/>
          <w:noProof/>
          <w:sz w:val="20"/>
          <w:szCs w:val="20"/>
          <w:lang w:val="ru-RU"/>
        </w:rPr>
        <w:t>22</w:t>
      </w:r>
      <w:r w:rsidRPr="00586257">
        <w:rPr>
          <w:rFonts w:ascii="Verdana" w:hAnsi="Verdana" w:cs="Arial"/>
          <w:noProof/>
          <w:sz w:val="20"/>
          <w:szCs w:val="20"/>
          <w:lang w:val="ru-RU"/>
        </w:rPr>
        <w:t>,</w:t>
      </w:r>
      <w:r>
        <w:rPr>
          <w:rFonts w:ascii="Verdana" w:hAnsi="Verdana" w:cs="Arial"/>
          <w:noProof/>
          <w:sz w:val="20"/>
          <w:szCs w:val="20"/>
          <w:lang w:val="ru-RU"/>
        </w:rPr>
        <w:t>0</w:t>
      </w:r>
      <w:r w:rsidRPr="00586257">
        <w:rPr>
          <w:rFonts w:ascii="Verdana" w:hAnsi="Verdana" w:cs="Arial"/>
          <w:noProof/>
          <w:sz w:val="20"/>
          <w:szCs w:val="20"/>
          <w:lang w:val="ru-RU"/>
        </w:rPr>
        <w:t xml:space="preserve"> во </w:t>
      </w:r>
      <w:r>
        <w:rPr>
          <w:rFonts w:ascii="Verdana" w:hAnsi="Verdana" w:cs="Arial"/>
          <w:noProof/>
          <w:sz w:val="20"/>
          <w:szCs w:val="20"/>
          <w:lang w:val="ru-RU"/>
        </w:rPr>
        <w:t>Шпанија</w:t>
      </w:r>
      <w:r w:rsidRPr="00586257">
        <w:rPr>
          <w:rFonts w:ascii="Verdana" w:hAnsi="Verdana" w:cs="Arial"/>
          <w:noProof/>
          <w:sz w:val="20"/>
          <w:szCs w:val="20"/>
          <w:lang w:val="ru-RU"/>
        </w:rPr>
        <w:t>, 1</w:t>
      </w:r>
      <w:r>
        <w:rPr>
          <w:rFonts w:ascii="Verdana" w:hAnsi="Verdana" w:cs="Arial"/>
          <w:noProof/>
          <w:sz w:val="20"/>
          <w:szCs w:val="20"/>
          <w:lang w:val="ru-RU"/>
        </w:rPr>
        <w:t>52</w:t>
      </w:r>
      <w:r w:rsidRPr="00586257">
        <w:rPr>
          <w:rFonts w:ascii="Verdana" w:hAnsi="Verdana" w:cs="Arial"/>
          <w:noProof/>
          <w:sz w:val="20"/>
          <w:szCs w:val="20"/>
          <w:lang w:val="ru-RU"/>
        </w:rPr>
        <w:t>,</w:t>
      </w:r>
      <w:r>
        <w:rPr>
          <w:rFonts w:ascii="Verdana" w:hAnsi="Verdana" w:cs="Arial"/>
          <w:noProof/>
          <w:sz w:val="20"/>
          <w:szCs w:val="20"/>
          <w:lang w:val="ru-RU"/>
        </w:rPr>
        <w:t>0</w:t>
      </w:r>
      <w:r w:rsidRPr="00586257">
        <w:rPr>
          <w:rFonts w:ascii="Verdana" w:hAnsi="Verdana" w:cs="Arial"/>
          <w:noProof/>
          <w:sz w:val="20"/>
          <w:szCs w:val="20"/>
          <w:lang w:val="ru-RU"/>
        </w:rPr>
        <w:t xml:space="preserve"> во И</w:t>
      </w:r>
      <w:r>
        <w:rPr>
          <w:rFonts w:ascii="Verdana" w:hAnsi="Verdana" w:cs="Arial"/>
          <w:noProof/>
          <w:sz w:val="20"/>
          <w:szCs w:val="20"/>
          <w:lang w:val="ru-RU"/>
        </w:rPr>
        <w:t>талија</w:t>
      </w:r>
      <w:r w:rsidRPr="00586257">
        <w:rPr>
          <w:rFonts w:ascii="Verdana" w:hAnsi="Verdana" w:cs="Arial"/>
          <w:noProof/>
          <w:sz w:val="20"/>
          <w:szCs w:val="20"/>
          <w:lang w:val="ru-RU"/>
        </w:rPr>
        <w:t xml:space="preserve">, </w:t>
      </w:r>
      <w:r>
        <w:rPr>
          <w:rFonts w:ascii="Verdana" w:hAnsi="Verdana" w:cs="Arial"/>
          <w:noProof/>
          <w:sz w:val="20"/>
          <w:szCs w:val="20"/>
          <w:lang w:val="ru-RU"/>
        </w:rPr>
        <w:t>188</w:t>
      </w:r>
      <w:r w:rsidRPr="00586257">
        <w:rPr>
          <w:rFonts w:ascii="Verdana" w:hAnsi="Verdana" w:cs="Arial"/>
          <w:noProof/>
          <w:sz w:val="20"/>
          <w:szCs w:val="20"/>
          <w:lang w:val="ru-RU"/>
        </w:rPr>
        <w:t>,</w:t>
      </w:r>
      <w:r>
        <w:rPr>
          <w:rFonts w:ascii="Verdana" w:hAnsi="Verdana" w:cs="Arial"/>
          <w:noProof/>
          <w:sz w:val="20"/>
          <w:szCs w:val="20"/>
          <w:lang w:val="ru-RU"/>
        </w:rPr>
        <w:t>0</w:t>
      </w:r>
      <w:r w:rsidRPr="00586257">
        <w:rPr>
          <w:rFonts w:ascii="Verdana" w:hAnsi="Verdana" w:cs="Arial"/>
          <w:noProof/>
          <w:sz w:val="20"/>
          <w:szCs w:val="20"/>
          <w:lang w:val="ru-RU"/>
        </w:rPr>
        <w:t xml:space="preserve"> во </w:t>
      </w:r>
      <w:r>
        <w:rPr>
          <w:rFonts w:ascii="Verdana" w:hAnsi="Verdana" w:cs="Arial"/>
          <w:noProof/>
          <w:sz w:val="20"/>
          <w:szCs w:val="20"/>
          <w:lang w:val="ru-RU"/>
        </w:rPr>
        <w:t>Грција</w:t>
      </w:r>
      <w:r w:rsidRPr="00586257">
        <w:rPr>
          <w:rFonts w:ascii="Verdana" w:hAnsi="Verdana" w:cs="Arial"/>
          <w:noProof/>
          <w:sz w:val="20"/>
          <w:szCs w:val="20"/>
          <w:lang w:val="ru-RU"/>
        </w:rPr>
        <w:t xml:space="preserve">, </w:t>
      </w:r>
      <w:r>
        <w:rPr>
          <w:rFonts w:ascii="Verdana" w:hAnsi="Verdana" w:cs="Arial"/>
          <w:noProof/>
          <w:sz w:val="20"/>
          <w:szCs w:val="20"/>
          <w:lang w:val="ru-RU"/>
        </w:rPr>
        <w:t xml:space="preserve">191,0 во Германија, 376,0 во Унгарија, 467,0 во Романија, </w:t>
      </w:r>
      <w:r w:rsidRPr="00586257">
        <w:rPr>
          <w:rFonts w:ascii="Verdana" w:hAnsi="Verdana" w:cs="Arial"/>
          <w:noProof/>
          <w:sz w:val="20"/>
          <w:szCs w:val="20"/>
          <w:lang w:val="ru-RU"/>
        </w:rPr>
        <w:t>5</w:t>
      </w:r>
      <w:r>
        <w:rPr>
          <w:rFonts w:ascii="Verdana" w:hAnsi="Verdana" w:cs="Arial"/>
          <w:noProof/>
          <w:sz w:val="20"/>
          <w:szCs w:val="20"/>
          <w:lang w:val="ru-RU"/>
        </w:rPr>
        <w:t>76,7</w:t>
      </w:r>
      <w:r w:rsidRPr="00586257">
        <w:rPr>
          <w:rFonts w:ascii="Verdana" w:hAnsi="Verdana" w:cs="Arial"/>
          <w:noProof/>
          <w:sz w:val="20"/>
          <w:szCs w:val="20"/>
          <w:lang w:val="ru-RU"/>
        </w:rPr>
        <w:t xml:space="preserve"> во Македонија, </w:t>
      </w:r>
      <w:r>
        <w:rPr>
          <w:rFonts w:ascii="Verdana" w:hAnsi="Verdana" w:cs="Arial"/>
          <w:noProof/>
          <w:sz w:val="20"/>
          <w:szCs w:val="20"/>
          <w:lang w:val="ru-RU"/>
        </w:rPr>
        <w:t xml:space="preserve">635,0 </w:t>
      </w:r>
      <w:r w:rsidRPr="00586257">
        <w:rPr>
          <w:rFonts w:ascii="Verdana" w:hAnsi="Verdana" w:cs="Arial"/>
          <w:noProof/>
          <w:sz w:val="20"/>
          <w:szCs w:val="20"/>
          <w:lang w:val="ru-RU"/>
        </w:rPr>
        <w:t xml:space="preserve">во </w:t>
      </w:r>
      <w:r>
        <w:rPr>
          <w:rFonts w:ascii="Verdana" w:hAnsi="Verdana" w:cs="Arial"/>
          <w:noProof/>
          <w:sz w:val="20"/>
          <w:szCs w:val="20"/>
          <w:lang w:val="ru-RU"/>
        </w:rPr>
        <w:t>Киргистан</w:t>
      </w:r>
      <w:r w:rsidRPr="00586257">
        <w:rPr>
          <w:rFonts w:ascii="Verdana" w:hAnsi="Verdana" w:cs="Arial"/>
          <w:noProof/>
          <w:sz w:val="20"/>
          <w:szCs w:val="20"/>
          <w:lang w:val="ru-RU"/>
        </w:rPr>
        <w:t xml:space="preserve"> итн.</w:t>
      </w:r>
    </w:p>
    <w:p w:rsidR="00927355" w:rsidRPr="00927355" w:rsidRDefault="00927355" w:rsidP="006660FA">
      <w:pPr>
        <w:jc w:val="both"/>
        <w:rPr>
          <w:rFonts w:ascii="Verdana" w:hAnsi="Verdana" w:cs="Arial"/>
          <w:noProof/>
          <w:sz w:val="20"/>
          <w:szCs w:val="20"/>
        </w:rPr>
      </w:pPr>
    </w:p>
    <w:p w:rsidR="00ED11BD" w:rsidRDefault="00B97F5E" w:rsidP="00074590">
      <w:pPr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noProof/>
          <w:sz w:val="16"/>
          <w:szCs w:val="16"/>
          <w:lang w:val="mk-MK" w:eastAsia="mk-MK"/>
        </w:rPr>
        <w:drawing>
          <wp:inline distT="0" distB="0" distL="0" distR="0">
            <wp:extent cx="5419725" cy="3038475"/>
            <wp:effectExtent l="19050" t="0" r="9525" b="0"/>
            <wp:docPr id="13" name="Picture 6" descr="C:\Users\tanjas\Desktop\DEN NA SRCETO 2018\SDR Diseases of the circulatory system 2015 (deaths per 100 00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anjas\Desktop\DEN NA SRCETO 2018\SDR Diseases of the circulatory system 2015 (deaths per 100 000)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355" w:rsidRPr="00733DFD" w:rsidRDefault="00927355" w:rsidP="00927355">
      <w:pPr>
        <w:rPr>
          <w:rFonts w:ascii="Verdana" w:hAnsi="Verdana" w:cs="Arial"/>
          <w:b/>
          <w:bCs/>
          <w:lang w:val="ru-RU"/>
        </w:rPr>
      </w:pPr>
      <w:r w:rsidRPr="00733DFD">
        <w:rPr>
          <w:rFonts w:ascii="Verdana" w:hAnsi="Verdana" w:cs="Arial"/>
          <w:b/>
          <w:bCs/>
          <w:lang w:val="ru-RU"/>
        </w:rPr>
        <w:lastRenderedPageBreak/>
        <w:t>ПРЕВЕНЦИЈА И КОНТРОЛА</w:t>
      </w:r>
    </w:p>
    <w:p w:rsidR="00927355" w:rsidRPr="00822E2B" w:rsidRDefault="00927355" w:rsidP="00927355">
      <w:pPr>
        <w:pStyle w:val="ListParagraph"/>
        <w:ind w:left="0"/>
        <w:jc w:val="both"/>
        <w:rPr>
          <w:rFonts w:ascii="Verdana" w:hAnsi="Verdana" w:cs="Arial"/>
          <w:sz w:val="20"/>
          <w:szCs w:val="20"/>
          <w:lang w:val="ru-RU"/>
        </w:rPr>
      </w:pPr>
    </w:p>
    <w:p w:rsidR="00927355" w:rsidRPr="001F1A43" w:rsidRDefault="00927355" w:rsidP="00927355">
      <w:pPr>
        <w:pStyle w:val="ListParagraph"/>
        <w:ind w:left="0"/>
        <w:jc w:val="both"/>
        <w:rPr>
          <w:rFonts w:ascii="Verdana" w:hAnsi="Verdana" w:cs="Arial"/>
          <w:color w:val="FF0000"/>
          <w:sz w:val="20"/>
          <w:szCs w:val="20"/>
          <w:lang w:val="ru-RU"/>
        </w:rPr>
      </w:pPr>
      <w:r w:rsidRPr="001F1A43">
        <w:rPr>
          <w:rFonts w:ascii="Verdana" w:hAnsi="Verdana" w:cs="Arial"/>
          <w:sz w:val="20"/>
          <w:szCs w:val="20"/>
          <w:lang w:val="ru-RU"/>
        </w:rPr>
        <w:t>Поаѓајќи од фактот дека постои можност 80% од срцеви</w:t>
      </w:r>
      <w:r>
        <w:rPr>
          <w:rFonts w:ascii="Verdana" w:hAnsi="Verdana" w:cs="Arial"/>
          <w:sz w:val="20"/>
          <w:szCs w:val="20"/>
          <w:lang w:val="mk-MK"/>
        </w:rPr>
        <w:t>те</w:t>
      </w:r>
      <w:r w:rsidRPr="001F1A43">
        <w:rPr>
          <w:rFonts w:ascii="Verdana" w:hAnsi="Verdana" w:cs="Arial"/>
          <w:sz w:val="20"/>
          <w:szCs w:val="20"/>
          <w:lang w:val="ru-RU"/>
        </w:rPr>
        <w:t xml:space="preserve"> заболувања да се спречат, </w:t>
      </w:r>
      <w:r>
        <w:rPr>
          <w:rFonts w:ascii="Verdana" w:hAnsi="Verdana" w:cs="Arial"/>
          <w:sz w:val="20"/>
          <w:szCs w:val="20"/>
          <w:lang w:val="ru-RU"/>
        </w:rPr>
        <w:t xml:space="preserve">во </w:t>
      </w:r>
      <w:r>
        <w:rPr>
          <w:rFonts w:ascii="Verdana" w:hAnsi="Verdana" w:cs="Arial"/>
          <w:color w:val="000000"/>
          <w:sz w:val="20"/>
          <w:szCs w:val="20"/>
          <w:lang w:val="ru-RU"/>
        </w:rPr>
        <w:t>Р</w:t>
      </w:r>
      <w:r>
        <w:rPr>
          <w:rFonts w:ascii="Verdana" w:hAnsi="Verdana" w:cs="Arial"/>
          <w:color w:val="000000"/>
          <w:sz w:val="20"/>
          <w:szCs w:val="20"/>
        </w:rPr>
        <w:t>.</w:t>
      </w:r>
      <w:r>
        <w:rPr>
          <w:rFonts w:ascii="Verdana" w:hAnsi="Verdana" w:cs="Arial"/>
          <w:color w:val="000000"/>
          <w:sz w:val="20"/>
          <w:szCs w:val="20"/>
          <w:lang w:val="mk-MK"/>
        </w:rPr>
        <w:t>С.</w:t>
      </w:r>
      <w:r w:rsidRPr="001F1A43">
        <w:rPr>
          <w:rFonts w:ascii="Verdana" w:hAnsi="Verdana" w:cs="Arial"/>
          <w:color w:val="000000"/>
          <w:sz w:val="20"/>
          <w:szCs w:val="20"/>
          <w:lang w:val="ru-RU"/>
        </w:rPr>
        <w:t>Македонија</w:t>
      </w:r>
      <w:r w:rsidRPr="001F1A43">
        <w:rPr>
          <w:rFonts w:ascii="Verdana" w:hAnsi="Verdana" w:cs="Arial"/>
          <w:sz w:val="20"/>
          <w:szCs w:val="20"/>
          <w:lang w:val="ru-RU"/>
        </w:rPr>
        <w:t xml:space="preserve"> </w:t>
      </w:r>
      <w:r>
        <w:rPr>
          <w:rFonts w:ascii="Verdana" w:hAnsi="Verdana" w:cs="Arial"/>
          <w:sz w:val="20"/>
          <w:szCs w:val="20"/>
          <w:lang w:val="ru-RU"/>
        </w:rPr>
        <w:t xml:space="preserve">се </w:t>
      </w:r>
      <w:r w:rsidRPr="001F1A43">
        <w:rPr>
          <w:rFonts w:ascii="Verdana" w:hAnsi="Verdana" w:cs="Arial"/>
          <w:sz w:val="20"/>
          <w:szCs w:val="20"/>
          <w:lang w:val="ru-RU"/>
        </w:rPr>
        <w:t>спроведува</w:t>
      </w:r>
      <w:r>
        <w:rPr>
          <w:rFonts w:ascii="Verdana" w:hAnsi="Verdana" w:cs="Arial"/>
          <w:sz w:val="20"/>
          <w:szCs w:val="20"/>
          <w:lang w:val="ru-RU"/>
        </w:rPr>
        <w:t>ат</w:t>
      </w:r>
      <w:r w:rsidRPr="001F1A43">
        <w:rPr>
          <w:rFonts w:ascii="Verdana" w:hAnsi="Verdana" w:cs="Arial"/>
          <w:sz w:val="20"/>
          <w:szCs w:val="20"/>
          <w:lang w:val="ru-RU"/>
        </w:rPr>
        <w:t xml:space="preserve"> мерки врз основа на докази со цел </w:t>
      </w:r>
      <w:r w:rsidRPr="001F1A43">
        <w:rPr>
          <w:rFonts w:ascii="Verdana" w:hAnsi="Verdana" w:cs="Arial"/>
          <w:color w:val="000000"/>
          <w:sz w:val="20"/>
          <w:szCs w:val="20"/>
          <w:lang w:val="ru-RU"/>
        </w:rPr>
        <w:t>превенција на факторите на ризик</w:t>
      </w:r>
      <w:r w:rsidRPr="001F1A43">
        <w:rPr>
          <w:rFonts w:ascii="Verdana" w:hAnsi="Verdana" w:cs="Arial"/>
          <w:sz w:val="20"/>
          <w:szCs w:val="20"/>
          <w:lang w:val="ru-RU"/>
        </w:rPr>
        <w:t xml:space="preserve"> како што е употребата на тутун, не</w:t>
      </w:r>
      <w:r>
        <w:rPr>
          <w:rFonts w:ascii="Verdana" w:hAnsi="Verdana" w:cs="Arial"/>
          <w:sz w:val="20"/>
          <w:szCs w:val="20"/>
          <w:lang w:val="ru-RU"/>
        </w:rPr>
        <w:t>правилна</w:t>
      </w:r>
      <w:r w:rsidRPr="001F1A43">
        <w:rPr>
          <w:rFonts w:ascii="Verdana" w:hAnsi="Verdana" w:cs="Arial"/>
          <w:sz w:val="20"/>
          <w:szCs w:val="20"/>
          <w:lang w:val="ru-RU"/>
        </w:rPr>
        <w:t xml:space="preserve"> исхрана, физичката неактивност и штетната употреба на алкохол</w:t>
      </w:r>
      <w:r w:rsidRPr="001F1A43">
        <w:rPr>
          <w:rFonts w:ascii="Verdana" w:hAnsi="Verdana" w:cs="Arial"/>
          <w:color w:val="000000"/>
          <w:sz w:val="20"/>
          <w:szCs w:val="20"/>
          <w:lang w:val="ru-RU"/>
        </w:rPr>
        <w:t>, наврем</w:t>
      </w:r>
      <w:r>
        <w:rPr>
          <w:rFonts w:ascii="Verdana" w:hAnsi="Verdana" w:cs="Arial"/>
          <w:color w:val="000000"/>
          <w:sz w:val="20"/>
          <w:szCs w:val="20"/>
          <w:lang w:val="ru-RU"/>
        </w:rPr>
        <w:t>е</w:t>
      </w:r>
      <w:r w:rsidRPr="001F1A43">
        <w:rPr>
          <w:rFonts w:ascii="Verdana" w:hAnsi="Verdana" w:cs="Arial"/>
          <w:color w:val="000000"/>
          <w:sz w:val="20"/>
          <w:szCs w:val="20"/>
          <w:lang w:val="ru-RU"/>
        </w:rPr>
        <w:t xml:space="preserve">но препознавање на КВБ, подобрување во лекувањето на секундарно и терциерно ниво, </w:t>
      </w:r>
      <w:r>
        <w:rPr>
          <w:rFonts w:ascii="Verdana" w:hAnsi="Verdana" w:cs="Arial"/>
          <w:color w:val="000000"/>
          <w:sz w:val="20"/>
          <w:szCs w:val="20"/>
          <w:lang w:val="ru-RU"/>
        </w:rPr>
        <w:t>зајакнувајќи го</w:t>
      </w:r>
      <w:r w:rsidRPr="001F1A43">
        <w:rPr>
          <w:rFonts w:ascii="Verdana" w:hAnsi="Verdana" w:cs="Arial"/>
          <w:color w:val="000000"/>
          <w:sz w:val="20"/>
          <w:szCs w:val="20"/>
          <w:lang w:val="ru-RU"/>
        </w:rPr>
        <w:t xml:space="preserve"> здравствениот систем </w:t>
      </w:r>
      <w:r>
        <w:rPr>
          <w:rFonts w:ascii="Verdana" w:hAnsi="Verdana" w:cs="Arial"/>
          <w:color w:val="000000"/>
          <w:sz w:val="20"/>
          <w:szCs w:val="20"/>
          <w:lang w:val="ru-RU"/>
        </w:rPr>
        <w:t xml:space="preserve">со кадар, опрема, реконструкција на стари и изградба на нови болнички капацитети и други мерки. Основната цел е </w:t>
      </w:r>
      <w:r w:rsidRPr="001F1A43">
        <w:rPr>
          <w:rFonts w:ascii="Verdana" w:hAnsi="Verdana" w:cs="Arial"/>
          <w:color w:val="000000"/>
          <w:sz w:val="20"/>
          <w:szCs w:val="20"/>
          <w:lang w:val="ru-RU"/>
        </w:rPr>
        <w:t>да одговори на с</w:t>
      </w:r>
      <w:r w:rsidR="00E20247">
        <w:rPr>
          <w:rFonts w:ascii="Verdana" w:hAnsi="Verdana" w:cs="Arial"/>
          <w:color w:val="000000"/>
          <w:sz w:val="20"/>
          <w:szCs w:val="20"/>
        </w:rPr>
        <w:t>e</w:t>
      </w:r>
      <w:r w:rsidRPr="001F1A43">
        <w:rPr>
          <w:rFonts w:ascii="Verdana" w:hAnsi="Verdana" w:cs="Arial"/>
          <w:color w:val="000000"/>
          <w:sz w:val="20"/>
          <w:szCs w:val="20"/>
          <w:lang w:val="ru-RU"/>
        </w:rPr>
        <w:t xml:space="preserve"> поголемото оптоварување на населението со кардиоваскуларни болести</w:t>
      </w:r>
      <w:r>
        <w:rPr>
          <w:rFonts w:ascii="Verdana" w:hAnsi="Verdana" w:cs="Arial"/>
          <w:color w:val="000000"/>
          <w:sz w:val="20"/>
          <w:szCs w:val="20"/>
          <w:lang w:val="ru-RU"/>
        </w:rPr>
        <w:t xml:space="preserve"> и</w:t>
      </w:r>
      <w:r w:rsidRPr="00403053">
        <w:rPr>
          <w:rFonts w:ascii="Verdana" w:hAnsi="Verdana" w:cs="Arial"/>
          <w:color w:val="000000"/>
          <w:sz w:val="20"/>
          <w:szCs w:val="20"/>
          <w:lang w:val="ru-RU"/>
        </w:rPr>
        <w:t xml:space="preserve"> </w:t>
      </w:r>
      <w:r w:rsidRPr="001F1A43">
        <w:rPr>
          <w:rFonts w:ascii="Verdana" w:hAnsi="Verdana" w:cs="Arial"/>
          <w:color w:val="000000"/>
          <w:sz w:val="20"/>
          <w:szCs w:val="20"/>
          <w:lang w:val="ru-RU"/>
        </w:rPr>
        <w:t xml:space="preserve">намалување на инвалидитетот </w:t>
      </w:r>
      <w:r>
        <w:rPr>
          <w:rFonts w:ascii="Verdana" w:hAnsi="Verdana" w:cs="Arial"/>
          <w:color w:val="000000"/>
          <w:sz w:val="20"/>
          <w:szCs w:val="20"/>
          <w:lang w:val="ru-RU"/>
        </w:rPr>
        <w:t xml:space="preserve">и </w:t>
      </w:r>
      <w:r w:rsidRPr="001F1A43">
        <w:rPr>
          <w:rFonts w:ascii="Verdana" w:hAnsi="Verdana" w:cs="Arial"/>
          <w:color w:val="000000"/>
          <w:sz w:val="20"/>
          <w:szCs w:val="20"/>
          <w:lang w:val="ru-RU"/>
        </w:rPr>
        <w:t>смртноста од овие заболувања</w:t>
      </w:r>
      <w:r>
        <w:rPr>
          <w:rFonts w:ascii="Verdana" w:hAnsi="Verdana" w:cs="Arial"/>
          <w:color w:val="000000"/>
          <w:sz w:val="20"/>
          <w:szCs w:val="20"/>
          <w:lang w:val="ru-RU"/>
        </w:rPr>
        <w:t>.</w:t>
      </w:r>
      <w:r w:rsidRPr="001F1A43">
        <w:rPr>
          <w:rFonts w:ascii="Verdana" w:hAnsi="Verdana" w:cs="Arial"/>
          <w:color w:val="000000"/>
          <w:sz w:val="20"/>
          <w:szCs w:val="20"/>
          <w:lang w:val="ru-RU"/>
        </w:rPr>
        <w:t xml:space="preserve"> </w:t>
      </w:r>
    </w:p>
    <w:p w:rsidR="00927355" w:rsidRDefault="00927355" w:rsidP="00927355">
      <w:pPr>
        <w:pStyle w:val="ListParagraph"/>
        <w:ind w:left="0"/>
        <w:jc w:val="both"/>
        <w:rPr>
          <w:rFonts w:ascii="Verdana" w:hAnsi="Verdana" w:cs="Arial"/>
          <w:color w:val="FF0000"/>
          <w:sz w:val="20"/>
          <w:szCs w:val="20"/>
          <w:lang w:val="mk-MK"/>
        </w:rPr>
      </w:pPr>
    </w:p>
    <w:p w:rsidR="00927355" w:rsidRDefault="00927355" w:rsidP="00927355">
      <w:pPr>
        <w:jc w:val="both"/>
        <w:rPr>
          <w:rFonts w:ascii="Verdana" w:hAnsi="Verdana" w:cs="Arial"/>
          <w:b/>
          <w:bCs/>
          <w:color w:val="000000" w:themeColor="text1"/>
          <w:sz w:val="20"/>
          <w:szCs w:val="20"/>
          <w:lang w:val="mk-MK"/>
        </w:rPr>
      </w:pPr>
      <w:r w:rsidRPr="001A6B67">
        <w:rPr>
          <w:rFonts w:ascii="Verdana" w:hAnsi="Verdana" w:cs="Arial"/>
          <w:b/>
          <w:bCs/>
          <w:color w:val="000000" w:themeColor="text1"/>
          <w:sz w:val="20"/>
          <w:szCs w:val="20"/>
          <w:lang w:val="mk-MK"/>
        </w:rPr>
        <w:t>ПРЕВЕНЦИЈА ВО ПРИМАРНА ЗДРАВСТВЕНА ЗАШТИТА</w:t>
      </w:r>
    </w:p>
    <w:p w:rsidR="00927355" w:rsidRPr="001A6B67" w:rsidRDefault="00927355" w:rsidP="00927355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927355" w:rsidRDefault="00927355" w:rsidP="00927355">
      <w:pPr>
        <w:jc w:val="both"/>
        <w:rPr>
          <w:rFonts w:ascii="Verdana" w:hAnsi="Verdana"/>
          <w:bCs/>
          <w:sz w:val="20"/>
          <w:szCs w:val="20"/>
          <w:lang w:val="mk-MK"/>
        </w:rPr>
      </w:pPr>
      <w:r w:rsidRPr="002A6233">
        <w:rPr>
          <w:rFonts w:ascii="Verdana" w:hAnsi="Verdana" w:cs="Arial"/>
          <w:color w:val="000000" w:themeColor="text1"/>
          <w:sz w:val="20"/>
          <w:szCs w:val="20"/>
          <w:lang w:val="mk-MK"/>
        </w:rPr>
        <w:t xml:space="preserve">Во последните години </w:t>
      </w:r>
      <w:r>
        <w:rPr>
          <w:rFonts w:ascii="Verdana" w:hAnsi="Verdana" w:cs="Arial"/>
          <w:color w:val="000000" w:themeColor="text1"/>
          <w:sz w:val="20"/>
          <w:szCs w:val="20"/>
          <w:lang w:val="mk-MK"/>
        </w:rPr>
        <w:t xml:space="preserve">во </w:t>
      </w:r>
      <w:r w:rsidRPr="001F1A43">
        <w:rPr>
          <w:rFonts w:ascii="Verdana" w:hAnsi="Verdana" w:cs="Arial"/>
          <w:color w:val="000000"/>
          <w:sz w:val="20"/>
          <w:szCs w:val="20"/>
          <w:lang w:val="ru-RU"/>
        </w:rPr>
        <w:t>Р</w:t>
      </w:r>
      <w:r>
        <w:rPr>
          <w:rFonts w:ascii="Verdana" w:hAnsi="Verdana" w:cs="Arial"/>
          <w:color w:val="000000"/>
          <w:sz w:val="20"/>
          <w:szCs w:val="20"/>
          <w:lang w:val="ru-RU"/>
        </w:rPr>
        <w:t>.С.</w:t>
      </w:r>
      <w:r w:rsidRPr="001F1A43">
        <w:rPr>
          <w:rFonts w:ascii="Verdana" w:hAnsi="Verdana" w:cs="Arial"/>
          <w:color w:val="000000"/>
          <w:sz w:val="20"/>
          <w:szCs w:val="20"/>
          <w:lang w:val="ru-RU"/>
        </w:rPr>
        <w:t>Македонија</w:t>
      </w:r>
      <w:r>
        <w:rPr>
          <w:rFonts w:ascii="Verdana" w:hAnsi="Verdana" w:cs="Arial"/>
          <w:color w:val="000000"/>
          <w:sz w:val="20"/>
          <w:szCs w:val="20"/>
          <w:lang w:val="ru-RU"/>
        </w:rPr>
        <w:t xml:space="preserve"> посебно значење се дава на промоцијата на здравјето и </w:t>
      </w:r>
      <w:r w:rsidRPr="002A6233">
        <w:rPr>
          <w:rFonts w:ascii="Verdana" w:hAnsi="Verdana" w:cs="Arial"/>
          <w:bCs/>
          <w:color w:val="000000" w:themeColor="text1"/>
          <w:sz w:val="20"/>
          <w:szCs w:val="20"/>
          <w:lang w:val="mk-MK"/>
        </w:rPr>
        <w:t>превенција</w:t>
      </w:r>
      <w:r>
        <w:rPr>
          <w:rFonts w:ascii="Verdana" w:hAnsi="Verdana" w:cs="Arial"/>
          <w:bCs/>
          <w:color w:val="000000" w:themeColor="text1"/>
          <w:sz w:val="20"/>
          <w:szCs w:val="20"/>
          <w:lang w:val="mk-MK"/>
        </w:rPr>
        <w:t>та на болестите</w:t>
      </w:r>
      <w:r w:rsidRPr="002A6233">
        <w:rPr>
          <w:rFonts w:ascii="Verdana" w:hAnsi="Verdana" w:cs="Arial"/>
          <w:bCs/>
          <w:color w:val="000000" w:themeColor="text1"/>
          <w:sz w:val="20"/>
          <w:szCs w:val="20"/>
          <w:lang w:val="mk-MK"/>
        </w:rPr>
        <w:t xml:space="preserve"> во примарна</w:t>
      </w:r>
      <w:r>
        <w:rPr>
          <w:rFonts w:ascii="Verdana" w:hAnsi="Verdana" w:cs="Arial"/>
          <w:bCs/>
          <w:color w:val="000000" w:themeColor="text1"/>
          <w:sz w:val="20"/>
          <w:szCs w:val="20"/>
          <w:lang w:val="mk-MK"/>
        </w:rPr>
        <w:t>та</w:t>
      </w:r>
      <w:r w:rsidRPr="002A6233">
        <w:rPr>
          <w:rFonts w:ascii="Verdana" w:hAnsi="Verdana" w:cs="Arial"/>
          <w:bCs/>
          <w:color w:val="000000" w:themeColor="text1"/>
          <w:sz w:val="20"/>
          <w:szCs w:val="20"/>
          <w:lang w:val="mk-MK"/>
        </w:rPr>
        <w:t xml:space="preserve"> здравствена заштита</w:t>
      </w:r>
      <w:r>
        <w:rPr>
          <w:rFonts w:ascii="Verdana" w:hAnsi="Verdana" w:cs="Arial"/>
          <w:bCs/>
          <w:color w:val="000000" w:themeColor="text1"/>
          <w:sz w:val="20"/>
          <w:szCs w:val="20"/>
          <w:lang w:val="mk-MK"/>
        </w:rPr>
        <w:t>.</w:t>
      </w:r>
      <w:r w:rsidRPr="002A6233">
        <w:rPr>
          <w:rFonts w:ascii="Verdana" w:hAnsi="Verdana"/>
          <w:bCs/>
          <w:sz w:val="20"/>
          <w:szCs w:val="20"/>
          <w:lang w:val="mk-MK"/>
        </w:rPr>
        <w:t xml:space="preserve"> </w:t>
      </w:r>
      <w:r>
        <w:rPr>
          <w:rFonts w:ascii="Verdana" w:hAnsi="Verdana"/>
          <w:bCs/>
          <w:sz w:val="20"/>
          <w:szCs w:val="20"/>
          <w:lang w:val="mk-MK"/>
        </w:rPr>
        <w:t xml:space="preserve">Спроведувањето на </w:t>
      </w:r>
      <w:r w:rsidRPr="0097443B">
        <w:rPr>
          <w:rFonts w:ascii="Verdana" w:hAnsi="Verdana"/>
          <w:bCs/>
          <w:sz w:val="20"/>
          <w:szCs w:val="20"/>
          <w:lang w:val="mk-MK"/>
        </w:rPr>
        <w:t>превентивни мерки и активности со цел унапредување на здравствената состојба</w:t>
      </w:r>
      <w:r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  <w:lang w:val="mk-MK"/>
        </w:rPr>
        <w:t>на населението е една од</w:t>
      </w:r>
      <w:r w:rsidRPr="00722BFE">
        <w:rPr>
          <w:rFonts w:ascii="Verdana" w:hAnsi="Verdana"/>
          <w:bCs/>
          <w:sz w:val="20"/>
          <w:szCs w:val="20"/>
          <w:lang w:val="mk-MK"/>
        </w:rPr>
        <w:t xml:space="preserve"> </w:t>
      </w:r>
      <w:r>
        <w:rPr>
          <w:rFonts w:ascii="Verdana" w:hAnsi="Verdana"/>
          <w:bCs/>
          <w:sz w:val="20"/>
          <w:szCs w:val="20"/>
          <w:lang w:val="mk-MK"/>
        </w:rPr>
        <w:t>з</w:t>
      </w:r>
      <w:r w:rsidRPr="0097443B">
        <w:rPr>
          <w:rFonts w:ascii="Verdana" w:hAnsi="Verdana"/>
          <w:bCs/>
          <w:sz w:val="20"/>
          <w:szCs w:val="20"/>
          <w:lang w:val="mk-MK"/>
        </w:rPr>
        <w:t>аконск</w:t>
      </w:r>
      <w:r>
        <w:rPr>
          <w:rFonts w:ascii="Verdana" w:hAnsi="Verdana"/>
          <w:bCs/>
          <w:sz w:val="20"/>
          <w:szCs w:val="20"/>
          <w:lang w:val="mk-MK"/>
        </w:rPr>
        <w:t>ите</w:t>
      </w:r>
      <w:r w:rsidRPr="0097443B">
        <w:rPr>
          <w:rFonts w:ascii="Verdana" w:hAnsi="Verdana"/>
          <w:bCs/>
          <w:sz w:val="20"/>
          <w:szCs w:val="20"/>
          <w:lang w:val="mk-MK"/>
        </w:rPr>
        <w:t xml:space="preserve"> обврск</w:t>
      </w:r>
      <w:r>
        <w:rPr>
          <w:rFonts w:ascii="Verdana" w:hAnsi="Verdana"/>
          <w:bCs/>
          <w:sz w:val="20"/>
          <w:szCs w:val="20"/>
          <w:lang w:val="mk-MK"/>
        </w:rPr>
        <w:t>и</w:t>
      </w:r>
      <w:r w:rsidRPr="0097443B">
        <w:rPr>
          <w:rFonts w:ascii="Verdana" w:hAnsi="Verdana"/>
          <w:bCs/>
          <w:sz w:val="20"/>
          <w:szCs w:val="20"/>
          <w:lang w:val="mk-MK"/>
        </w:rPr>
        <w:t xml:space="preserve"> на секој</w:t>
      </w:r>
      <w:r>
        <w:rPr>
          <w:rFonts w:ascii="Verdana" w:hAnsi="Verdana"/>
          <w:bCs/>
          <w:sz w:val="20"/>
          <w:szCs w:val="20"/>
          <w:lang w:val="mk-MK"/>
        </w:rPr>
        <w:t xml:space="preserve"> лекар од превентивната здравствена заштита, како и секој</w:t>
      </w:r>
      <w:r w:rsidRPr="0097443B">
        <w:rPr>
          <w:rFonts w:ascii="Verdana" w:hAnsi="Verdana"/>
          <w:bCs/>
          <w:sz w:val="20"/>
          <w:szCs w:val="20"/>
          <w:lang w:val="mk-MK"/>
        </w:rPr>
        <w:t xml:space="preserve"> избран (матичен)</w:t>
      </w:r>
      <w:r>
        <w:rPr>
          <w:rFonts w:ascii="Verdana" w:hAnsi="Verdana"/>
          <w:bCs/>
          <w:sz w:val="20"/>
          <w:szCs w:val="20"/>
          <w:lang w:val="mk-MK"/>
        </w:rPr>
        <w:t xml:space="preserve"> лекар.</w:t>
      </w:r>
      <w:r w:rsidRPr="0097443B">
        <w:rPr>
          <w:rFonts w:ascii="Verdana" w:hAnsi="Verdana"/>
          <w:bCs/>
          <w:sz w:val="20"/>
          <w:szCs w:val="20"/>
          <w:lang w:val="mk-MK"/>
        </w:rPr>
        <w:t xml:space="preserve"> </w:t>
      </w:r>
      <w:r>
        <w:rPr>
          <w:rFonts w:ascii="Verdana" w:hAnsi="Verdana"/>
          <w:bCs/>
          <w:sz w:val="20"/>
          <w:szCs w:val="20"/>
          <w:lang w:val="mk-MK"/>
        </w:rPr>
        <w:t>Во таа смисла, Институтот за јавно здравје и 10-те центри за јавно здравје, како и здравствените домови активно работат на спроведување на кампањи, едукација во училиштата, здравствените установи, и други  средини, изработка и дистрибуција на здравствено-едукативен материјал, организирање на акции за бесплатни превентивни прегледи пред с</w:t>
      </w:r>
      <w:r w:rsidR="00EA3873">
        <w:rPr>
          <w:rFonts w:ascii="Verdana" w:hAnsi="Verdana"/>
          <w:bCs/>
          <w:sz w:val="20"/>
          <w:szCs w:val="20"/>
          <w:lang w:val="mk-MK"/>
        </w:rPr>
        <w:t>е</w:t>
      </w:r>
      <w:r>
        <w:rPr>
          <w:rFonts w:ascii="Verdana" w:hAnsi="Verdana"/>
          <w:bCs/>
          <w:sz w:val="20"/>
          <w:szCs w:val="20"/>
          <w:lang w:val="mk-MK"/>
        </w:rPr>
        <w:t>, во рурални средини, с</w:t>
      </w:r>
      <w:r w:rsidR="00EA3873">
        <w:rPr>
          <w:rFonts w:ascii="Verdana" w:hAnsi="Verdana"/>
          <w:bCs/>
          <w:sz w:val="20"/>
          <w:szCs w:val="20"/>
          <w:lang w:val="mk-MK"/>
        </w:rPr>
        <w:t>е</w:t>
      </w:r>
      <w:bookmarkStart w:id="0" w:name="_GoBack"/>
      <w:bookmarkEnd w:id="0"/>
      <w:r>
        <w:rPr>
          <w:rFonts w:ascii="Verdana" w:hAnsi="Verdana"/>
          <w:bCs/>
          <w:sz w:val="20"/>
          <w:szCs w:val="20"/>
          <w:lang w:val="mk-MK"/>
        </w:rPr>
        <w:t xml:space="preserve"> со цел да се подигне свеста кај граѓаните да се грижат за сопственото здравје.</w:t>
      </w:r>
    </w:p>
    <w:p w:rsidR="00927355" w:rsidRPr="00722BFE" w:rsidRDefault="00927355" w:rsidP="00927355">
      <w:pPr>
        <w:jc w:val="both"/>
        <w:rPr>
          <w:rFonts w:ascii="Verdana" w:hAnsi="Verdana"/>
          <w:bCs/>
          <w:sz w:val="20"/>
          <w:szCs w:val="20"/>
          <w:lang w:val="mk-MK"/>
        </w:rPr>
      </w:pPr>
      <w:r>
        <w:rPr>
          <w:rFonts w:ascii="Verdana" w:hAnsi="Verdana"/>
          <w:bCs/>
          <w:sz w:val="20"/>
          <w:szCs w:val="20"/>
          <w:lang w:val="mk-MK"/>
        </w:rPr>
        <w:t xml:space="preserve">Еден дел од средствата што </w:t>
      </w:r>
      <w:r w:rsidRPr="00EA0B34">
        <w:rPr>
          <w:rFonts w:ascii="Verdana" w:hAnsi="Verdana"/>
          <w:bCs/>
          <w:sz w:val="20"/>
          <w:szCs w:val="20"/>
          <w:lang w:val="mk-MK"/>
        </w:rPr>
        <w:t>Ф</w:t>
      </w:r>
      <w:r>
        <w:rPr>
          <w:rFonts w:ascii="Verdana" w:hAnsi="Verdana"/>
          <w:bCs/>
          <w:sz w:val="20"/>
          <w:szCs w:val="20"/>
          <w:lang w:val="mk-MK"/>
        </w:rPr>
        <w:t xml:space="preserve">ондот за здравствено осигурување на </w:t>
      </w:r>
      <w:r w:rsidRPr="00EA0B34">
        <w:rPr>
          <w:rFonts w:ascii="Verdana" w:hAnsi="Verdana"/>
          <w:bCs/>
          <w:sz w:val="20"/>
          <w:szCs w:val="20"/>
          <w:lang w:val="mk-MK"/>
        </w:rPr>
        <w:t>М</w:t>
      </w:r>
      <w:r>
        <w:rPr>
          <w:rFonts w:ascii="Verdana" w:hAnsi="Verdana"/>
          <w:bCs/>
          <w:sz w:val="20"/>
          <w:szCs w:val="20"/>
          <w:lang w:val="mk-MK"/>
        </w:rPr>
        <w:t>акедонија (ФЗОМ)</w:t>
      </w:r>
      <w:r w:rsidRPr="00EA0B34">
        <w:rPr>
          <w:rFonts w:ascii="Verdana" w:hAnsi="Verdana"/>
          <w:bCs/>
          <w:sz w:val="20"/>
          <w:szCs w:val="20"/>
          <w:lang w:val="mk-MK"/>
        </w:rPr>
        <w:t xml:space="preserve"> </w:t>
      </w:r>
      <w:r>
        <w:rPr>
          <w:rFonts w:ascii="Verdana" w:hAnsi="Verdana"/>
          <w:bCs/>
          <w:sz w:val="20"/>
          <w:szCs w:val="20"/>
          <w:lang w:val="mk-MK"/>
        </w:rPr>
        <w:t>ги исплаќа на и</w:t>
      </w:r>
      <w:r w:rsidRPr="00EA0B34">
        <w:rPr>
          <w:rFonts w:ascii="Verdana" w:hAnsi="Verdana"/>
          <w:bCs/>
          <w:sz w:val="20"/>
          <w:szCs w:val="20"/>
          <w:lang w:val="mk-MK"/>
        </w:rPr>
        <w:t>збрани</w:t>
      </w:r>
      <w:r>
        <w:rPr>
          <w:rFonts w:ascii="Verdana" w:hAnsi="Verdana"/>
          <w:bCs/>
          <w:sz w:val="20"/>
          <w:szCs w:val="20"/>
          <w:lang w:val="mk-MK"/>
        </w:rPr>
        <w:t>те</w:t>
      </w:r>
      <w:r w:rsidRPr="00EA0B34">
        <w:rPr>
          <w:rFonts w:ascii="Verdana" w:hAnsi="Verdana"/>
          <w:bCs/>
          <w:sz w:val="20"/>
          <w:szCs w:val="20"/>
          <w:lang w:val="mk-MK"/>
        </w:rPr>
        <w:t xml:space="preserve"> лекар</w:t>
      </w:r>
      <w:r>
        <w:rPr>
          <w:rFonts w:ascii="Verdana" w:hAnsi="Verdana"/>
          <w:bCs/>
          <w:sz w:val="20"/>
          <w:szCs w:val="20"/>
          <w:lang w:val="mk-MK"/>
        </w:rPr>
        <w:t xml:space="preserve">и се наменети </w:t>
      </w:r>
      <w:r w:rsidRPr="00EA0B34">
        <w:rPr>
          <w:rFonts w:ascii="Verdana" w:hAnsi="Verdana"/>
          <w:bCs/>
          <w:sz w:val="20"/>
          <w:szCs w:val="20"/>
          <w:lang w:val="mk-MK"/>
        </w:rPr>
        <w:t xml:space="preserve">за </w:t>
      </w:r>
      <w:r>
        <w:rPr>
          <w:rFonts w:ascii="Verdana" w:hAnsi="Verdana"/>
          <w:bCs/>
          <w:sz w:val="20"/>
          <w:szCs w:val="20"/>
          <w:lang w:val="mk-MK"/>
        </w:rPr>
        <w:t>спроведување на п</w:t>
      </w:r>
      <w:r w:rsidRPr="0097443B">
        <w:rPr>
          <w:rFonts w:ascii="Verdana" w:hAnsi="Verdana"/>
          <w:bCs/>
          <w:sz w:val="20"/>
          <w:szCs w:val="20"/>
          <w:lang w:val="mk-MK"/>
        </w:rPr>
        <w:t>ревентивни</w:t>
      </w:r>
      <w:r>
        <w:rPr>
          <w:rFonts w:ascii="Verdana" w:hAnsi="Verdana"/>
          <w:bCs/>
          <w:sz w:val="20"/>
          <w:szCs w:val="20"/>
          <w:lang w:val="mk-MK"/>
        </w:rPr>
        <w:t>те</w:t>
      </w:r>
      <w:r w:rsidRPr="0097443B">
        <w:rPr>
          <w:rFonts w:ascii="Verdana" w:hAnsi="Verdana"/>
          <w:bCs/>
          <w:sz w:val="20"/>
          <w:szCs w:val="20"/>
          <w:lang w:val="mk-MK"/>
        </w:rPr>
        <w:t xml:space="preserve"> мерки и активности</w:t>
      </w:r>
      <w:r w:rsidRPr="00EA0B34">
        <w:rPr>
          <w:rFonts w:ascii="Verdana" w:hAnsi="Verdana"/>
          <w:bCs/>
          <w:sz w:val="20"/>
          <w:szCs w:val="20"/>
          <w:lang w:val="mk-MK"/>
        </w:rPr>
        <w:t>.</w:t>
      </w:r>
    </w:p>
    <w:p w:rsidR="00927355" w:rsidRPr="0097443B" w:rsidRDefault="00927355" w:rsidP="00927355">
      <w:pPr>
        <w:jc w:val="both"/>
        <w:rPr>
          <w:rFonts w:ascii="Verdana" w:hAnsi="Verdana"/>
          <w:sz w:val="20"/>
          <w:szCs w:val="20"/>
        </w:rPr>
      </w:pPr>
      <w:r w:rsidRPr="00EA0B34">
        <w:rPr>
          <w:rFonts w:ascii="Verdana" w:hAnsi="Verdana"/>
          <w:bCs/>
          <w:sz w:val="20"/>
          <w:szCs w:val="20"/>
          <w:lang w:val="mk-MK"/>
        </w:rPr>
        <w:t>ФЗОМ</w:t>
      </w:r>
      <w:r w:rsidRPr="0097443B">
        <w:rPr>
          <w:rFonts w:ascii="Verdana" w:hAnsi="Verdana"/>
          <w:bCs/>
          <w:sz w:val="20"/>
          <w:szCs w:val="20"/>
          <w:lang w:val="mk-MK"/>
        </w:rPr>
        <w:t xml:space="preserve"> </w:t>
      </w:r>
      <w:r>
        <w:rPr>
          <w:rFonts w:ascii="Verdana" w:hAnsi="Verdana"/>
          <w:bCs/>
          <w:sz w:val="20"/>
          <w:szCs w:val="20"/>
          <w:lang w:val="mk-MK"/>
        </w:rPr>
        <w:t>п</w:t>
      </w:r>
      <w:r w:rsidRPr="0097443B">
        <w:rPr>
          <w:rFonts w:ascii="Verdana" w:hAnsi="Verdana"/>
          <w:bCs/>
          <w:sz w:val="20"/>
          <w:szCs w:val="20"/>
          <w:lang w:val="mk-MK"/>
        </w:rPr>
        <w:t>ревентивни</w:t>
      </w:r>
      <w:r>
        <w:rPr>
          <w:rFonts w:ascii="Verdana" w:hAnsi="Verdana"/>
          <w:bCs/>
          <w:sz w:val="20"/>
          <w:szCs w:val="20"/>
          <w:lang w:val="mk-MK"/>
        </w:rPr>
        <w:t>те</w:t>
      </w:r>
      <w:r w:rsidRPr="0097443B">
        <w:rPr>
          <w:rFonts w:ascii="Verdana" w:hAnsi="Verdana"/>
          <w:bCs/>
          <w:sz w:val="20"/>
          <w:szCs w:val="20"/>
          <w:lang w:val="mk-MK"/>
        </w:rPr>
        <w:t xml:space="preserve"> мерки и активности </w:t>
      </w:r>
      <w:r>
        <w:rPr>
          <w:rFonts w:ascii="Verdana" w:hAnsi="Verdana"/>
          <w:bCs/>
          <w:sz w:val="20"/>
          <w:szCs w:val="20"/>
          <w:lang w:val="mk-MK"/>
        </w:rPr>
        <w:t>ги</w:t>
      </w:r>
      <w:r w:rsidRPr="0097443B">
        <w:rPr>
          <w:rFonts w:ascii="Verdana" w:hAnsi="Verdana"/>
          <w:bCs/>
          <w:sz w:val="20"/>
          <w:szCs w:val="20"/>
          <w:lang w:val="mk-MK"/>
        </w:rPr>
        <w:t xml:space="preserve"> </w:t>
      </w:r>
      <w:r>
        <w:rPr>
          <w:rFonts w:ascii="Verdana" w:hAnsi="Verdana"/>
          <w:bCs/>
          <w:sz w:val="20"/>
          <w:szCs w:val="20"/>
          <w:lang w:val="mk-MK"/>
        </w:rPr>
        <w:t xml:space="preserve">дефинира како превентивни цели </w:t>
      </w:r>
      <w:r w:rsidRPr="0097443B">
        <w:rPr>
          <w:rFonts w:ascii="Verdana" w:hAnsi="Verdana"/>
          <w:bCs/>
          <w:sz w:val="20"/>
          <w:szCs w:val="20"/>
          <w:lang w:val="mk-MK"/>
        </w:rPr>
        <w:t xml:space="preserve">кои се </w:t>
      </w:r>
      <w:r>
        <w:rPr>
          <w:rFonts w:ascii="Verdana" w:hAnsi="Verdana"/>
          <w:bCs/>
          <w:sz w:val="20"/>
          <w:szCs w:val="20"/>
          <w:lang w:val="mk-MK"/>
        </w:rPr>
        <w:t>спроведуваат</w:t>
      </w:r>
      <w:r w:rsidRPr="0097443B">
        <w:rPr>
          <w:rFonts w:ascii="Verdana" w:hAnsi="Verdana"/>
          <w:bCs/>
          <w:sz w:val="20"/>
          <w:szCs w:val="20"/>
          <w:lang w:val="mk-MK"/>
        </w:rPr>
        <w:t xml:space="preserve"> на осигурените лица заради спречување на појава на болести и се наменети за оние </w:t>
      </w:r>
      <w:r>
        <w:rPr>
          <w:rFonts w:ascii="Verdana" w:hAnsi="Verdana"/>
          <w:bCs/>
          <w:sz w:val="20"/>
          <w:szCs w:val="20"/>
          <w:lang w:val="mk-MK"/>
        </w:rPr>
        <w:t xml:space="preserve">лица </w:t>
      </w:r>
      <w:r w:rsidRPr="0097443B">
        <w:rPr>
          <w:rFonts w:ascii="Verdana" w:hAnsi="Verdana"/>
          <w:bCs/>
          <w:sz w:val="20"/>
          <w:szCs w:val="20"/>
          <w:lang w:val="mk-MK"/>
        </w:rPr>
        <w:t>кои нередевно го посетуваат својот избран лекар.</w:t>
      </w:r>
      <w:r>
        <w:rPr>
          <w:rFonts w:ascii="Verdana" w:hAnsi="Verdana"/>
          <w:bCs/>
          <w:sz w:val="20"/>
          <w:szCs w:val="20"/>
          <w:lang w:val="mk-MK"/>
        </w:rPr>
        <w:t xml:space="preserve"> </w:t>
      </w:r>
    </w:p>
    <w:p w:rsidR="00927355" w:rsidRDefault="00927355" w:rsidP="00927355">
      <w:pPr>
        <w:jc w:val="both"/>
        <w:rPr>
          <w:rFonts w:ascii="Verdana" w:hAnsi="Verdana" w:cs="Arial"/>
          <w:bCs/>
          <w:color w:val="000000" w:themeColor="text1"/>
          <w:sz w:val="20"/>
          <w:szCs w:val="20"/>
          <w:lang w:val="mk-MK"/>
        </w:rPr>
      </w:pPr>
      <w:r>
        <w:rPr>
          <w:rFonts w:ascii="Verdana" w:hAnsi="Verdana" w:cs="Arial"/>
          <w:bCs/>
          <w:color w:val="000000" w:themeColor="text1"/>
          <w:sz w:val="20"/>
          <w:szCs w:val="20"/>
          <w:lang w:val="mk-MK"/>
        </w:rPr>
        <w:t>И</w:t>
      </w:r>
      <w:r w:rsidRPr="000B679B">
        <w:rPr>
          <w:rFonts w:ascii="Verdana" w:hAnsi="Verdana" w:cs="Arial"/>
          <w:bCs/>
          <w:color w:val="000000" w:themeColor="text1"/>
          <w:sz w:val="20"/>
          <w:szCs w:val="20"/>
          <w:lang w:val="mk-MK"/>
        </w:rPr>
        <w:t>збрани</w:t>
      </w:r>
      <w:r>
        <w:rPr>
          <w:rFonts w:ascii="Verdana" w:hAnsi="Verdana" w:cs="Arial"/>
          <w:bCs/>
          <w:color w:val="000000" w:themeColor="text1"/>
          <w:sz w:val="20"/>
          <w:szCs w:val="20"/>
          <w:lang w:val="mk-MK"/>
        </w:rPr>
        <w:t>те</w:t>
      </w:r>
      <w:r w:rsidRPr="000B679B">
        <w:rPr>
          <w:rFonts w:ascii="Verdana" w:hAnsi="Verdana" w:cs="Arial"/>
          <w:bCs/>
          <w:color w:val="000000" w:themeColor="text1"/>
          <w:sz w:val="20"/>
          <w:szCs w:val="20"/>
          <w:lang w:val="mk-MK"/>
        </w:rPr>
        <w:t xml:space="preserve"> </w:t>
      </w:r>
      <w:r>
        <w:rPr>
          <w:rFonts w:ascii="Verdana" w:hAnsi="Verdana" w:cs="Arial"/>
          <w:bCs/>
          <w:color w:val="000000" w:themeColor="text1"/>
          <w:sz w:val="20"/>
          <w:szCs w:val="20"/>
          <w:lang w:val="mk-MK"/>
        </w:rPr>
        <w:t>о</w:t>
      </w:r>
      <w:r w:rsidRPr="000B679B">
        <w:rPr>
          <w:rFonts w:ascii="Verdana" w:hAnsi="Verdana" w:cs="Arial"/>
          <w:bCs/>
          <w:color w:val="000000" w:themeColor="text1"/>
          <w:sz w:val="20"/>
          <w:szCs w:val="20"/>
          <w:lang w:val="mk-MK"/>
        </w:rPr>
        <w:t xml:space="preserve">пшти лекари </w:t>
      </w:r>
      <w:r>
        <w:rPr>
          <w:rFonts w:ascii="Verdana" w:hAnsi="Verdana" w:cs="Arial"/>
          <w:bCs/>
          <w:color w:val="000000" w:themeColor="text1"/>
          <w:sz w:val="20"/>
          <w:szCs w:val="20"/>
          <w:lang w:val="mk-MK"/>
        </w:rPr>
        <w:t>спроведуваат ч</w:t>
      </w:r>
      <w:r w:rsidRPr="000B679B">
        <w:rPr>
          <w:rFonts w:ascii="Verdana" w:hAnsi="Verdana" w:cs="Arial"/>
          <w:bCs/>
          <w:color w:val="000000" w:themeColor="text1"/>
          <w:sz w:val="20"/>
          <w:szCs w:val="20"/>
          <w:lang w:val="mk-MK"/>
        </w:rPr>
        <w:t>ет</w:t>
      </w:r>
      <w:r>
        <w:rPr>
          <w:rFonts w:ascii="Verdana" w:hAnsi="Verdana" w:cs="Arial"/>
          <w:bCs/>
          <w:color w:val="000000" w:themeColor="text1"/>
          <w:sz w:val="20"/>
          <w:szCs w:val="20"/>
          <w:lang w:val="mk-MK"/>
        </w:rPr>
        <w:t>и</w:t>
      </w:r>
      <w:r w:rsidRPr="000B679B">
        <w:rPr>
          <w:rFonts w:ascii="Verdana" w:hAnsi="Verdana" w:cs="Arial"/>
          <w:bCs/>
          <w:color w:val="000000" w:themeColor="text1"/>
          <w:sz w:val="20"/>
          <w:szCs w:val="20"/>
          <w:lang w:val="mk-MK"/>
        </w:rPr>
        <w:t>р</w:t>
      </w:r>
      <w:r>
        <w:rPr>
          <w:rFonts w:ascii="Verdana" w:hAnsi="Verdana" w:cs="Arial"/>
          <w:bCs/>
          <w:color w:val="000000" w:themeColor="text1"/>
          <w:sz w:val="20"/>
          <w:szCs w:val="20"/>
          <w:lang w:val="mk-MK"/>
        </w:rPr>
        <w:t>и</w:t>
      </w:r>
      <w:r w:rsidRPr="000B679B">
        <w:rPr>
          <w:rFonts w:ascii="Verdana" w:hAnsi="Verdana" w:cs="Arial"/>
          <w:bCs/>
          <w:color w:val="000000" w:themeColor="text1"/>
          <w:sz w:val="20"/>
          <w:szCs w:val="20"/>
          <w:lang w:val="mk-MK"/>
        </w:rPr>
        <w:t xml:space="preserve">наесет </w:t>
      </w:r>
      <w:r>
        <w:rPr>
          <w:rFonts w:ascii="Verdana" w:hAnsi="Verdana" w:cs="Arial"/>
          <w:bCs/>
          <w:color w:val="000000" w:themeColor="text1"/>
          <w:sz w:val="20"/>
          <w:szCs w:val="20"/>
          <w:lang w:val="mk-MK"/>
        </w:rPr>
        <w:t>превентивни цели. Цел 11 од нив е:</w:t>
      </w:r>
    </w:p>
    <w:p w:rsidR="00927355" w:rsidRPr="00723CDF" w:rsidRDefault="00927355" w:rsidP="00927355">
      <w:pPr>
        <w:jc w:val="both"/>
        <w:rPr>
          <w:rFonts w:ascii="Verdana" w:hAnsi="Verdana" w:cs="Arial"/>
          <w:b/>
          <w:bCs/>
          <w:color w:val="000000" w:themeColor="text1"/>
          <w:sz w:val="20"/>
          <w:szCs w:val="20"/>
          <w:lang w:val="mk-MK"/>
        </w:rPr>
      </w:pPr>
      <w:r>
        <w:rPr>
          <w:rFonts w:ascii="Verdana" w:hAnsi="Verdana" w:cs="Arial"/>
          <w:bCs/>
          <w:color w:val="000000" w:themeColor="text1"/>
          <w:sz w:val="20"/>
          <w:szCs w:val="20"/>
          <w:lang w:val="mk-MK"/>
        </w:rPr>
        <w:t>-</w:t>
      </w:r>
      <w:r w:rsidRPr="000B679B">
        <w:rPr>
          <w:rFonts w:ascii="Verdana" w:hAnsi="Verdana" w:cs="Arial"/>
          <w:b/>
          <w:bCs/>
          <w:color w:val="000000" w:themeColor="text1"/>
          <w:sz w:val="20"/>
          <w:szCs w:val="20"/>
          <w:lang w:val="mk-MK"/>
        </w:rPr>
        <w:t xml:space="preserve">Превентивни мерки и активности за рано откривање на хронични незаразни  </w:t>
      </w:r>
      <w:r>
        <w:rPr>
          <w:rFonts w:ascii="Verdana" w:hAnsi="Verdana" w:cs="Arial"/>
          <w:b/>
          <w:bCs/>
          <w:color w:val="000000" w:themeColor="text1"/>
          <w:sz w:val="20"/>
          <w:szCs w:val="20"/>
          <w:lang w:val="mk-MK"/>
        </w:rPr>
        <w:t xml:space="preserve">    заболувања </w:t>
      </w:r>
      <w:r w:rsidRPr="000B679B">
        <w:rPr>
          <w:rFonts w:ascii="Verdana" w:hAnsi="Verdana" w:cs="Arial"/>
          <w:b/>
          <w:bCs/>
          <w:color w:val="000000" w:themeColor="text1"/>
          <w:sz w:val="20"/>
          <w:szCs w:val="20"/>
          <w:lang w:val="mk-MK"/>
        </w:rPr>
        <w:t>(КВП - кардиоваскуларна проценка</w:t>
      </w:r>
      <w:r>
        <w:rPr>
          <w:rFonts w:ascii="Verdana" w:hAnsi="Verdana" w:cs="Arial"/>
          <w:b/>
          <w:bCs/>
          <w:color w:val="000000" w:themeColor="text1"/>
          <w:sz w:val="20"/>
          <w:szCs w:val="20"/>
          <w:lang w:val="mk-MK"/>
        </w:rPr>
        <w:t>)</w:t>
      </w:r>
      <w:r w:rsidRPr="000B679B">
        <w:rPr>
          <w:rFonts w:ascii="Verdana" w:hAnsi="Verdana" w:cs="Arial"/>
          <w:b/>
          <w:bCs/>
          <w:color w:val="000000" w:themeColor="text1"/>
          <w:sz w:val="20"/>
          <w:szCs w:val="20"/>
          <w:lang w:val="mk-MK"/>
        </w:rPr>
        <w:t xml:space="preserve"> </w:t>
      </w:r>
      <w:r>
        <w:rPr>
          <w:rFonts w:ascii="Verdana" w:hAnsi="Verdana" w:cs="Arial"/>
          <w:b/>
          <w:bCs/>
          <w:color w:val="000000" w:themeColor="text1"/>
          <w:sz w:val="20"/>
          <w:szCs w:val="20"/>
          <w:lang w:val="mk-MK"/>
        </w:rPr>
        <w:t xml:space="preserve">кај население на возраст од </w:t>
      </w:r>
      <w:r w:rsidRPr="000B679B">
        <w:rPr>
          <w:rFonts w:ascii="Verdana" w:hAnsi="Verdana" w:cs="Arial"/>
          <w:b/>
          <w:bCs/>
          <w:color w:val="000000" w:themeColor="text1"/>
          <w:sz w:val="20"/>
          <w:szCs w:val="20"/>
          <w:lang w:val="mk-MK"/>
        </w:rPr>
        <w:t>25 до 65 годи</w:t>
      </w:r>
      <w:r>
        <w:rPr>
          <w:rFonts w:ascii="Verdana" w:hAnsi="Verdana" w:cs="Arial"/>
          <w:b/>
          <w:bCs/>
          <w:color w:val="000000" w:themeColor="text1"/>
          <w:sz w:val="20"/>
          <w:szCs w:val="20"/>
          <w:lang w:val="mk-MK"/>
        </w:rPr>
        <w:t>ни</w:t>
      </w:r>
      <w:r w:rsidRPr="000B679B">
        <w:rPr>
          <w:rFonts w:ascii="Verdana" w:hAnsi="Verdana" w:cs="Arial"/>
          <w:b/>
          <w:bCs/>
          <w:color w:val="000000" w:themeColor="text1"/>
          <w:sz w:val="20"/>
          <w:szCs w:val="20"/>
          <w:lang w:val="mk-MK"/>
        </w:rPr>
        <w:t xml:space="preserve"> кај двата пола</w:t>
      </w:r>
      <w:r>
        <w:rPr>
          <w:rFonts w:ascii="Verdana" w:hAnsi="Verdana" w:cs="Arial"/>
          <w:b/>
          <w:bCs/>
          <w:color w:val="000000" w:themeColor="text1"/>
          <w:sz w:val="20"/>
          <w:szCs w:val="20"/>
          <w:lang w:val="mk-MK"/>
        </w:rPr>
        <w:t>.</w:t>
      </w:r>
    </w:p>
    <w:p w:rsidR="00927355" w:rsidRPr="00723CDF" w:rsidRDefault="00927355" w:rsidP="00927355">
      <w:pPr>
        <w:jc w:val="both"/>
        <w:rPr>
          <w:rFonts w:ascii="Verdana" w:hAnsi="Verdana"/>
          <w:bCs/>
          <w:sz w:val="20"/>
          <w:szCs w:val="20"/>
          <w:lang w:val="mk-MK"/>
        </w:rPr>
      </w:pPr>
      <w:r w:rsidRPr="00AA7911">
        <w:rPr>
          <w:rFonts w:ascii="Verdana" w:hAnsi="Verdana" w:cs="Arial"/>
          <w:color w:val="000000" w:themeColor="text1"/>
          <w:sz w:val="20"/>
          <w:szCs w:val="20"/>
          <w:lang w:val="mk-MK"/>
        </w:rPr>
        <w:t xml:space="preserve">За </w:t>
      </w:r>
      <w:r>
        <w:rPr>
          <w:rFonts w:ascii="Verdana" w:hAnsi="Verdana" w:cs="Arial"/>
          <w:color w:val="000000" w:themeColor="text1"/>
          <w:sz w:val="20"/>
          <w:szCs w:val="20"/>
          <w:lang w:val="mk-MK"/>
        </w:rPr>
        <w:t>спроведување на 11-та</w:t>
      </w:r>
      <w:r w:rsidRPr="00AA7911">
        <w:rPr>
          <w:rFonts w:ascii="Verdana" w:hAnsi="Verdana" w:cs="Arial"/>
          <w:color w:val="000000" w:themeColor="text1"/>
          <w:sz w:val="20"/>
          <w:szCs w:val="20"/>
          <w:lang w:val="mk-MK"/>
        </w:rPr>
        <w:t xml:space="preserve"> цел изготвени се табели кои ги содржат следните обележја/параметри: </w:t>
      </w:r>
      <w:r w:rsidRPr="00AA7911">
        <w:rPr>
          <w:rFonts w:ascii="Verdana" w:hAnsi="Verdana"/>
          <w:bCs/>
          <w:sz w:val="20"/>
          <w:szCs w:val="20"/>
          <w:lang w:val="mk-MK"/>
        </w:rPr>
        <w:t xml:space="preserve">пол, возраст, </w:t>
      </w:r>
      <w:r>
        <w:rPr>
          <w:rFonts w:ascii="Verdana" w:hAnsi="Verdana"/>
          <w:bCs/>
          <w:sz w:val="20"/>
          <w:szCs w:val="20"/>
          <w:lang w:val="mk-MK"/>
        </w:rPr>
        <w:t xml:space="preserve">употреба на тутун, </w:t>
      </w:r>
      <w:r w:rsidRPr="00AA7911">
        <w:rPr>
          <w:rFonts w:ascii="Verdana" w:hAnsi="Verdana"/>
          <w:bCs/>
          <w:sz w:val="20"/>
          <w:szCs w:val="20"/>
          <w:lang w:val="mk-MK"/>
        </w:rPr>
        <w:t>телесна висина, висина на систолниот крвен притисок, лабораториски наоди,</w:t>
      </w:r>
      <w:r w:rsidRPr="00AA7911">
        <w:rPr>
          <w:rFonts w:ascii="Verdana" w:eastAsia="Times New Roman" w:hAnsi="Verdana" w:cs="Times New Roman"/>
          <w:bCs/>
          <w:color w:val="000000"/>
          <w:kern w:val="24"/>
          <w:sz w:val="20"/>
          <w:szCs w:val="20"/>
          <w:lang w:val="mk-MK"/>
        </w:rPr>
        <w:t xml:space="preserve"> претходен инфаркт, претходен мозочен удар, хипертрофија на лева комора утврдена со ЕКГ и присуство на </w:t>
      </w:r>
      <w:r w:rsidRPr="00AA7911">
        <w:rPr>
          <w:rFonts w:ascii="Verdana" w:hAnsi="Verdana"/>
          <w:bCs/>
          <w:sz w:val="20"/>
          <w:szCs w:val="20"/>
          <w:lang w:val="mk-MK"/>
        </w:rPr>
        <w:t>ш</w:t>
      </w:r>
      <w:r w:rsidRPr="00AA7911">
        <w:rPr>
          <w:rFonts w:ascii="Verdana" w:eastAsia="Times New Roman" w:hAnsi="Verdana" w:cs="Times New Roman"/>
          <w:bCs/>
          <w:color w:val="000000"/>
          <w:kern w:val="24"/>
          <w:sz w:val="20"/>
          <w:szCs w:val="20"/>
          <w:lang w:val="mk-MK"/>
        </w:rPr>
        <w:t xml:space="preserve">еќерна болест. </w:t>
      </w:r>
      <w:r w:rsidRPr="00AA7911">
        <w:rPr>
          <w:rFonts w:ascii="Verdana" w:hAnsi="Verdana"/>
          <w:bCs/>
          <w:sz w:val="20"/>
          <w:szCs w:val="20"/>
          <w:lang w:val="mk-MK"/>
        </w:rPr>
        <w:t>За секој од зададените обележја</w:t>
      </w:r>
      <w:r>
        <w:rPr>
          <w:rFonts w:ascii="Verdana" w:hAnsi="Verdana"/>
          <w:bCs/>
          <w:sz w:val="20"/>
          <w:szCs w:val="20"/>
          <w:lang w:val="mk-MK"/>
        </w:rPr>
        <w:t>/</w:t>
      </w:r>
      <w:r w:rsidRPr="00AA7911">
        <w:rPr>
          <w:rFonts w:ascii="Verdana" w:hAnsi="Verdana"/>
          <w:bCs/>
          <w:sz w:val="20"/>
          <w:szCs w:val="20"/>
          <w:lang w:val="mk-MK"/>
        </w:rPr>
        <w:t>параметри (кои се воедно и ризик фактори), се одредени соодветни бодови</w:t>
      </w:r>
      <w:r w:rsidRPr="00AA7911">
        <w:rPr>
          <w:rFonts w:ascii="Verdana" w:hAnsi="Verdana" w:cs="Arial"/>
          <w:color w:val="000000" w:themeColor="text1"/>
          <w:sz w:val="20"/>
          <w:szCs w:val="20"/>
          <w:lang w:val="mk-MK"/>
        </w:rPr>
        <w:t xml:space="preserve"> </w:t>
      </w:r>
      <w:r>
        <w:rPr>
          <w:rFonts w:ascii="Verdana" w:hAnsi="Verdana" w:cs="Arial"/>
          <w:color w:val="000000" w:themeColor="text1"/>
          <w:sz w:val="20"/>
          <w:szCs w:val="20"/>
          <w:lang w:val="mk-MK"/>
        </w:rPr>
        <w:t xml:space="preserve">кои </w:t>
      </w:r>
      <w:r w:rsidRPr="00AA7911">
        <w:rPr>
          <w:rFonts w:ascii="Verdana" w:hAnsi="Verdana" w:cs="Arial"/>
          <w:color w:val="000000" w:themeColor="text1"/>
          <w:sz w:val="20"/>
          <w:szCs w:val="20"/>
          <w:lang w:val="mk-MK"/>
        </w:rPr>
        <w:t>се</w:t>
      </w:r>
      <w:r>
        <w:rPr>
          <w:rFonts w:ascii="Verdana" w:hAnsi="Verdana"/>
          <w:bCs/>
          <w:sz w:val="20"/>
          <w:szCs w:val="20"/>
          <w:lang w:val="mk-MK"/>
        </w:rPr>
        <w:t xml:space="preserve"> </w:t>
      </w:r>
      <w:r w:rsidRPr="00AA7911">
        <w:rPr>
          <w:rFonts w:ascii="Verdana" w:hAnsi="Verdana"/>
          <w:bCs/>
          <w:sz w:val="20"/>
          <w:szCs w:val="20"/>
          <w:lang w:val="mk-MK"/>
        </w:rPr>
        <w:t xml:space="preserve">собираат </w:t>
      </w:r>
      <w:r>
        <w:rPr>
          <w:rFonts w:ascii="Verdana" w:hAnsi="Verdana"/>
          <w:bCs/>
          <w:sz w:val="20"/>
          <w:szCs w:val="20"/>
          <w:lang w:val="mk-MK"/>
        </w:rPr>
        <w:t>и се добива</w:t>
      </w:r>
      <w:r w:rsidRPr="00AA7911">
        <w:rPr>
          <w:rFonts w:ascii="Verdana" w:hAnsi="Verdana"/>
          <w:bCs/>
          <w:sz w:val="20"/>
          <w:szCs w:val="20"/>
          <w:lang w:val="mk-MK"/>
        </w:rPr>
        <w:t xml:space="preserve"> вкупен број на бодови </w:t>
      </w:r>
      <w:r w:rsidRPr="00AA7911">
        <w:rPr>
          <w:rFonts w:ascii="Verdana" w:hAnsi="Verdana"/>
          <w:bCs/>
          <w:sz w:val="20"/>
          <w:szCs w:val="20"/>
        </w:rPr>
        <w:t>(SCORE</w:t>
      </w:r>
      <w:r w:rsidRPr="00AA7911">
        <w:rPr>
          <w:rFonts w:ascii="Verdana" w:hAnsi="Verdana"/>
          <w:bCs/>
          <w:sz w:val="20"/>
          <w:szCs w:val="20"/>
          <w:lang w:val="mk-MK"/>
        </w:rPr>
        <w:t>).</w:t>
      </w:r>
      <w:r>
        <w:rPr>
          <w:rFonts w:ascii="Verdana" w:hAnsi="Verdana"/>
          <w:bCs/>
          <w:sz w:val="20"/>
          <w:szCs w:val="20"/>
          <w:lang w:val="mk-MK"/>
        </w:rPr>
        <w:t xml:space="preserve"> </w:t>
      </w:r>
      <w:r w:rsidRPr="00AA7911">
        <w:rPr>
          <w:rFonts w:ascii="Verdana" w:hAnsi="Verdana"/>
          <w:bCs/>
          <w:sz w:val="20"/>
          <w:szCs w:val="20"/>
          <w:lang w:val="mk-MK"/>
        </w:rPr>
        <w:t xml:space="preserve">Откако </w:t>
      </w:r>
      <w:r w:rsidRPr="00AA7911">
        <w:rPr>
          <w:rFonts w:ascii="Verdana" w:hAnsi="Verdana"/>
          <w:bCs/>
          <w:sz w:val="20"/>
          <w:szCs w:val="20"/>
        </w:rPr>
        <w:t xml:space="preserve">e </w:t>
      </w:r>
      <w:r>
        <w:rPr>
          <w:rFonts w:ascii="Verdana" w:hAnsi="Verdana"/>
          <w:bCs/>
          <w:sz w:val="20"/>
          <w:szCs w:val="20"/>
          <w:lang w:val="mk-MK"/>
        </w:rPr>
        <w:t>добиен</w:t>
      </w:r>
      <w:r w:rsidRPr="00AA7911">
        <w:rPr>
          <w:rFonts w:ascii="Verdana" w:hAnsi="Verdana"/>
          <w:bCs/>
          <w:sz w:val="20"/>
          <w:szCs w:val="20"/>
          <w:lang w:val="mk-MK"/>
        </w:rPr>
        <w:t xml:space="preserve"> вкупниот број на бодови </w:t>
      </w:r>
      <w:r w:rsidRPr="00AA7911">
        <w:rPr>
          <w:rFonts w:ascii="Verdana" w:hAnsi="Verdana"/>
          <w:bCs/>
          <w:sz w:val="20"/>
          <w:szCs w:val="20"/>
        </w:rPr>
        <w:t>(SCORE)</w:t>
      </w:r>
      <w:r w:rsidRPr="00AA7911">
        <w:rPr>
          <w:rFonts w:ascii="Verdana" w:hAnsi="Verdana"/>
          <w:bCs/>
          <w:sz w:val="20"/>
          <w:szCs w:val="20"/>
          <w:lang w:val="mk-MK"/>
        </w:rPr>
        <w:t>, може да се определи степенот на ризик од појава на кардиоваскуларни заболувања</w:t>
      </w:r>
      <w:r>
        <w:rPr>
          <w:rFonts w:ascii="Verdana" w:hAnsi="Verdana"/>
          <w:bCs/>
          <w:sz w:val="20"/>
          <w:szCs w:val="20"/>
          <w:lang w:val="mk-MK"/>
        </w:rPr>
        <w:t>.</w:t>
      </w:r>
    </w:p>
    <w:p w:rsidR="00927355" w:rsidRDefault="00927355" w:rsidP="00927355">
      <w:pPr>
        <w:jc w:val="both"/>
        <w:rPr>
          <w:rFonts w:ascii="Verdana" w:hAnsi="Verdana" w:cs="Arial"/>
          <w:color w:val="000000" w:themeColor="text1"/>
          <w:sz w:val="20"/>
          <w:szCs w:val="20"/>
          <w:lang w:val="mk-MK"/>
        </w:rPr>
      </w:pPr>
      <w:r w:rsidRPr="000B679B">
        <w:rPr>
          <w:rFonts w:ascii="Verdana" w:hAnsi="Verdana" w:cs="Arial"/>
          <w:color w:val="000000" w:themeColor="text1"/>
          <w:sz w:val="20"/>
          <w:szCs w:val="20"/>
          <w:lang w:val="mk-MK"/>
        </w:rPr>
        <w:t>Со воведување</w:t>
      </w:r>
      <w:r>
        <w:rPr>
          <w:rFonts w:ascii="Verdana" w:hAnsi="Verdana" w:cs="Arial"/>
          <w:color w:val="000000" w:themeColor="text1"/>
          <w:sz w:val="20"/>
          <w:szCs w:val="20"/>
          <w:lang w:val="mk-MK"/>
        </w:rPr>
        <w:t>то на</w:t>
      </w:r>
      <w:r w:rsidRPr="000B679B">
        <w:rPr>
          <w:rFonts w:ascii="Verdana" w:hAnsi="Verdana" w:cs="Arial"/>
          <w:color w:val="000000" w:themeColor="text1"/>
          <w:sz w:val="20"/>
          <w:szCs w:val="20"/>
          <w:lang w:val="mk-MK"/>
        </w:rPr>
        <w:t xml:space="preserve"> систематски пристап кај избраните </w:t>
      </w:r>
      <w:r>
        <w:rPr>
          <w:rFonts w:ascii="Verdana" w:hAnsi="Verdana" w:cs="Arial"/>
          <w:color w:val="000000" w:themeColor="text1"/>
          <w:sz w:val="20"/>
          <w:szCs w:val="20"/>
          <w:lang w:val="mk-MK"/>
        </w:rPr>
        <w:t xml:space="preserve">општи </w:t>
      </w:r>
      <w:r w:rsidRPr="000B679B">
        <w:rPr>
          <w:rFonts w:ascii="Verdana" w:hAnsi="Verdana" w:cs="Arial"/>
          <w:color w:val="000000" w:themeColor="text1"/>
          <w:sz w:val="20"/>
          <w:szCs w:val="20"/>
          <w:lang w:val="mk-MK"/>
        </w:rPr>
        <w:t xml:space="preserve">лекари во ПЗЗ за навремено откривање на потенцијалните ризик фактори и нивно отстранување, значително може да се спречи појавата на ургентните кардиоваскуларни манифестации (срцев инфаркт или мозочен удар), а со тоа и појава на прерана смрт кај населението. </w:t>
      </w:r>
    </w:p>
    <w:p w:rsidR="00927355" w:rsidRDefault="00927355" w:rsidP="00927355">
      <w:pPr>
        <w:jc w:val="both"/>
        <w:rPr>
          <w:rFonts w:ascii="Verdana" w:hAnsi="Verdana" w:cs="Arial"/>
          <w:color w:val="000000" w:themeColor="text1"/>
          <w:sz w:val="20"/>
          <w:szCs w:val="20"/>
          <w:lang w:val="mk-MK"/>
        </w:rPr>
      </w:pPr>
    </w:p>
    <w:p w:rsidR="00927355" w:rsidRDefault="00927355" w:rsidP="00927355">
      <w:pPr>
        <w:pStyle w:val="ListParagraph"/>
        <w:ind w:left="0"/>
        <w:jc w:val="both"/>
        <w:rPr>
          <w:rFonts w:ascii="Verdana" w:hAnsi="Verdana" w:cs="Arial"/>
          <w:color w:val="FF0000"/>
          <w:sz w:val="20"/>
          <w:szCs w:val="20"/>
          <w:lang w:val="mk-MK"/>
        </w:rPr>
      </w:pPr>
    </w:p>
    <w:p w:rsidR="00927355" w:rsidRPr="00E20247" w:rsidRDefault="00E20247" w:rsidP="00E20247">
      <w:pPr>
        <w:pStyle w:val="ListParagraph"/>
        <w:ind w:left="2880"/>
        <w:rPr>
          <w:rFonts w:ascii="Verdana" w:hAnsi="Verdana" w:cs="Arial"/>
          <w:b/>
          <w:sz w:val="20"/>
          <w:szCs w:val="20"/>
          <w:lang w:val="mk-MK"/>
        </w:rPr>
      </w:pPr>
      <w:r>
        <w:rPr>
          <w:rFonts w:ascii="Verdana" w:hAnsi="Verdana" w:cs="Arial"/>
          <w:color w:val="FF0000"/>
          <w:sz w:val="20"/>
          <w:szCs w:val="20"/>
          <w:lang w:val="mk-MK"/>
        </w:rPr>
        <w:t xml:space="preserve">     </w:t>
      </w:r>
      <w:r w:rsidR="00927355" w:rsidRPr="00E20247">
        <w:rPr>
          <w:rFonts w:ascii="Verdana" w:hAnsi="Verdana" w:cs="Arial"/>
          <w:b/>
          <w:sz w:val="20"/>
          <w:szCs w:val="20"/>
          <w:lang w:val="mk-MK"/>
        </w:rPr>
        <w:t>Изготвил:</w:t>
      </w:r>
    </w:p>
    <w:p w:rsidR="00927355" w:rsidRPr="00E20247" w:rsidRDefault="00E20247" w:rsidP="00E20247">
      <w:pPr>
        <w:pStyle w:val="ListParagraph"/>
        <w:ind w:left="2880"/>
        <w:jc w:val="center"/>
        <w:rPr>
          <w:rFonts w:ascii="Verdana" w:hAnsi="Verdana" w:cs="Arial"/>
          <w:b/>
          <w:sz w:val="20"/>
          <w:szCs w:val="20"/>
          <w:lang w:val="mk-MK"/>
        </w:rPr>
      </w:pPr>
      <w:r w:rsidRPr="00E20247">
        <w:rPr>
          <w:rFonts w:ascii="Verdana" w:hAnsi="Verdana" w:cs="Arial"/>
          <w:b/>
          <w:sz w:val="20"/>
          <w:szCs w:val="20"/>
          <w:lang w:val="mk-MK"/>
        </w:rPr>
        <w:t>Оддел</w:t>
      </w:r>
      <w:r w:rsidR="00927355" w:rsidRPr="00E20247">
        <w:rPr>
          <w:rFonts w:ascii="Verdana" w:hAnsi="Verdana" w:cs="Arial"/>
          <w:b/>
          <w:sz w:val="20"/>
          <w:szCs w:val="20"/>
          <w:lang w:val="mk-MK"/>
        </w:rPr>
        <w:t xml:space="preserve"> за </w:t>
      </w:r>
      <w:r w:rsidRPr="00E20247">
        <w:rPr>
          <w:rFonts w:ascii="Verdana" w:hAnsi="Verdana" w:cs="Arial"/>
          <w:b/>
          <w:sz w:val="20"/>
          <w:szCs w:val="20"/>
          <w:lang w:val="mk-MK"/>
        </w:rPr>
        <w:t xml:space="preserve">здравствена </w:t>
      </w:r>
      <w:r w:rsidR="00927355" w:rsidRPr="00E20247">
        <w:rPr>
          <w:rFonts w:ascii="Verdana" w:hAnsi="Verdana" w:cs="Arial"/>
          <w:b/>
          <w:sz w:val="20"/>
          <w:szCs w:val="20"/>
          <w:lang w:val="mk-MK"/>
        </w:rPr>
        <w:t>промоција и следење</w:t>
      </w:r>
      <w:r w:rsidRPr="00E20247">
        <w:rPr>
          <w:rFonts w:ascii="Verdana" w:hAnsi="Verdana" w:cs="Arial"/>
          <w:b/>
          <w:sz w:val="20"/>
          <w:szCs w:val="20"/>
          <w:lang w:val="mk-MK"/>
        </w:rPr>
        <w:t xml:space="preserve"> </w:t>
      </w:r>
      <w:r w:rsidR="00927355" w:rsidRPr="00E20247">
        <w:rPr>
          <w:rFonts w:ascii="Verdana" w:hAnsi="Verdana" w:cs="Arial"/>
          <w:b/>
          <w:sz w:val="20"/>
          <w:szCs w:val="20"/>
          <w:lang w:val="mk-MK"/>
        </w:rPr>
        <w:t>на болести</w:t>
      </w:r>
    </w:p>
    <w:sectPr w:rsidR="00927355" w:rsidRPr="00E20247" w:rsidSect="00BB2E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" o:bullet="t">
        <v:imagedata r:id="rId1" o:title="msoB"/>
      </v:shape>
    </w:pict>
  </w:numPicBullet>
  <w:abstractNum w:abstractNumId="0">
    <w:nsid w:val="08CD5523"/>
    <w:multiLevelType w:val="hybridMultilevel"/>
    <w:tmpl w:val="0E6825B4"/>
    <w:lvl w:ilvl="0" w:tplc="08090007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70D445E0"/>
    <w:multiLevelType w:val="hybridMultilevel"/>
    <w:tmpl w:val="EC728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A71D7"/>
    <w:rsid w:val="00017CF8"/>
    <w:rsid w:val="00022197"/>
    <w:rsid w:val="00024420"/>
    <w:rsid w:val="00035B10"/>
    <w:rsid w:val="000374E8"/>
    <w:rsid w:val="0004683E"/>
    <w:rsid w:val="000735E8"/>
    <w:rsid w:val="00074590"/>
    <w:rsid w:val="0008349E"/>
    <w:rsid w:val="00084E63"/>
    <w:rsid w:val="000A12FF"/>
    <w:rsid w:val="000C1E96"/>
    <w:rsid w:val="000C4B13"/>
    <w:rsid w:val="000E7D3F"/>
    <w:rsid w:val="000F2928"/>
    <w:rsid w:val="000F7CBC"/>
    <w:rsid w:val="001062E2"/>
    <w:rsid w:val="001070FC"/>
    <w:rsid w:val="001278AB"/>
    <w:rsid w:val="001315A6"/>
    <w:rsid w:val="0014707B"/>
    <w:rsid w:val="00163716"/>
    <w:rsid w:val="00176331"/>
    <w:rsid w:val="00176774"/>
    <w:rsid w:val="00183161"/>
    <w:rsid w:val="00185F8A"/>
    <w:rsid w:val="001A4A6F"/>
    <w:rsid w:val="001A58B4"/>
    <w:rsid w:val="001A71D7"/>
    <w:rsid w:val="001C2074"/>
    <w:rsid w:val="001D6B35"/>
    <w:rsid w:val="001F1A43"/>
    <w:rsid w:val="001F7BBB"/>
    <w:rsid w:val="00256888"/>
    <w:rsid w:val="00265AEF"/>
    <w:rsid w:val="00267504"/>
    <w:rsid w:val="002734F3"/>
    <w:rsid w:val="00293326"/>
    <w:rsid w:val="002A0BB0"/>
    <w:rsid w:val="002A1929"/>
    <w:rsid w:val="002B690A"/>
    <w:rsid w:val="002D320D"/>
    <w:rsid w:val="002D47E1"/>
    <w:rsid w:val="002D525E"/>
    <w:rsid w:val="002F31F6"/>
    <w:rsid w:val="00303EAD"/>
    <w:rsid w:val="00313561"/>
    <w:rsid w:val="00320B33"/>
    <w:rsid w:val="0035133A"/>
    <w:rsid w:val="00357F5E"/>
    <w:rsid w:val="0038417E"/>
    <w:rsid w:val="003929D5"/>
    <w:rsid w:val="00393E4D"/>
    <w:rsid w:val="003A392F"/>
    <w:rsid w:val="003B157F"/>
    <w:rsid w:val="003B615B"/>
    <w:rsid w:val="003E03BD"/>
    <w:rsid w:val="003E6118"/>
    <w:rsid w:val="003E6C2F"/>
    <w:rsid w:val="003F4441"/>
    <w:rsid w:val="0041642B"/>
    <w:rsid w:val="00421D00"/>
    <w:rsid w:val="0045013D"/>
    <w:rsid w:val="004522D6"/>
    <w:rsid w:val="00463764"/>
    <w:rsid w:val="004676BE"/>
    <w:rsid w:val="00471D3D"/>
    <w:rsid w:val="004759C0"/>
    <w:rsid w:val="00477B3A"/>
    <w:rsid w:val="004900BD"/>
    <w:rsid w:val="00492AF5"/>
    <w:rsid w:val="004C1ECE"/>
    <w:rsid w:val="004C541D"/>
    <w:rsid w:val="004D52F3"/>
    <w:rsid w:val="004D6FBE"/>
    <w:rsid w:val="004F11FA"/>
    <w:rsid w:val="00504EA4"/>
    <w:rsid w:val="00534B12"/>
    <w:rsid w:val="00536160"/>
    <w:rsid w:val="00555611"/>
    <w:rsid w:val="00564D46"/>
    <w:rsid w:val="00571D91"/>
    <w:rsid w:val="00580DC2"/>
    <w:rsid w:val="005846C6"/>
    <w:rsid w:val="00586257"/>
    <w:rsid w:val="005A18DE"/>
    <w:rsid w:val="005A5D65"/>
    <w:rsid w:val="005B1111"/>
    <w:rsid w:val="005B6435"/>
    <w:rsid w:val="005D3F17"/>
    <w:rsid w:val="005D46DA"/>
    <w:rsid w:val="005D5CAF"/>
    <w:rsid w:val="005D608A"/>
    <w:rsid w:val="005F7EC4"/>
    <w:rsid w:val="0060751A"/>
    <w:rsid w:val="0062020A"/>
    <w:rsid w:val="00621761"/>
    <w:rsid w:val="00634963"/>
    <w:rsid w:val="0064338E"/>
    <w:rsid w:val="00650A68"/>
    <w:rsid w:val="00651BA9"/>
    <w:rsid w:val="00664C41"/>
    <w:rsid w:val="006660FA"/>
    <w:rsid w:val="006848B8"/>
    <w:rsid w:val="0069747B"/>
    <w:rsid w:val="006A44D2"/>
    <w:rsid w:val="006B11B5"/>
    <w:rsid w:val="006F385F"/>
    <w:rsid w:val="0074618B"/>
    <w:rsid w:val="007619A0"/>
    <w:rsid w:val="0079623C"/>
    <w:rsid w:val="007963FE"/>
    <w:rsid w:val="007A0AAA"/>
    <w:rsid w:val="007A24DA"/>
    <w:rsid w:val="007C3E69"/>
    <w:rsid w:val="007F53FB"/>
    <w:rsid w:val="008010CB"/>
    <w:rsid w:val="00811978"/>
    <w:rsid w:val="008215B4"/>
    <w:rsid w:val="00822E2B"/>
    <w:rsid w:val="008538EF"/>
    <w:rsid w:val="0085485C"/>
    <w:rsid w:val="00864E0C"/>
    <w:rsid w:val="00873CB8"/>
    <w:rsid w:val="00874F28"/>
    <w:rsid w:val="008A6C8E"/>
    <w:rsid w:val="008B0873"/>
    <w:rsid w:val="008B75DD"/>
    <w:rsid w:val="008C7D8A"/>
    <w:rsid w:val="008D001E"/>
    <w:rsid w:val="008D5E81"/>
    <w:rsid w:val="008D7A28"/>
    <w:rsid w:val="008E0D0F"/>
    <w:rsid w:val="0091230D"/>
    <w:rsid w:val="009137DB"/>
    <w:rsid w:val="00917425"/>
    <w:rsid w:val="00924D69"/>
    <w:rsid w:val="00927355"/>
    <w:rsid w:val="00953DA6"/>
    <w:rsid w:val="00960204"/>
    <w:rsid w:val="0096393C"/>
    <w:rsid w:val="009676C6"/>
    <w:rsid w:val="00967C77"/>
    <w:rsid w:val="00987E2B"/>
    <w:rsid w:val="009935F0"/>
    <w:rsid w:val="009A5909"/>
    <w:rsid w:val="009A7A62"/>
    <w:rsid w:val="009D1A99"/>
    <w:rsid w:val="009E19AF"/>
    <w:rsid w:val="009F1092"/>
    <w:rsid w:val="00A13578"/>
    <w:rsid w:val="00A276B1"/>
    <w:rsid w:val="00A36DDC"/>
    <w:rsid w:val="00A45C03"/>
    <w:rsid w:val="00A65078"/>
    <w:rsid w:val="00A667D8"/>
    <w:rsid w:val="00A81B06"/>
    <w:rsid w:val="00A86871"/>
    <w:rsid w:val="00A9669F"/>
    <w:rsid w:val="00AA19BF"/>
    <w:rsid w:val="00AB328A"/>
    <w:rsid w:val="00AB33A2"/>
    <w:rsid w:val="00AB7ED1"/>
    <w:rsid w:val="00AC7B95"/>
    <w:rsid w:val="00AF1834"/>
    <w:rsid w:val="00B147B5"/>
    <w:rsid w:val="00B15F5F"/>
    <w:rsid w:val="00B1737C"/>
    <w:rsid w:val="00B20ED5"/>
    <w:rsid w:val="00B25753"/>
    <w:rsid w:val="00B26696"/>
    <w:rsid w:val="00B356C8"/>
    <w:rsid w:val="00B50F2D"/>
    <w:rsid w:val="00B5755F"/>
    <w:rsid w:val="00B57EB7"/>
    <w:rsid w:val="00B62F8E"/>
    <w:rsid w:val="00B71310"/>
    <w:rsid w:val="00B81423"/>
    <w:rsid w:val="00B83286"/>
    <w:rsid w:val="00B97F5E"/>
    <w:rsid w:val="00BB24C9"/>
    <w:rsid w:val="00BB2E90"/>
    <w:rsid w:val="00BB6C20"/>
    <w:rsid w:val="00BC75B0"/>
    <w:rsid w:val="00BD3EEF"/>
    <w:rsid w:val="00BE3B1C"/>
    <w:rsid w:val="00BE6CB4"/>
    <w:rsid w:val="00C01CFE"/>
    <w:rsid w:val="00C467FC"/>
    <w:rsid w:val="00C61975"/>
    <w:rsid w:val="00C64102"/>
    <w:rsid w:val="00C65713"/>
    <w:rsid w:val="00C74A57"/>
    <w:rsid w:val="00C8783B"/>
    <w:rsid w:val="00C97693"/>
    <w:rsid w:val="00CB105D"/>
    <w:rsid w:val="00CB2C6F"/>
    <w:rsid w:val="00CC2937"/>
    <w:rsid w:val="00CC3F4F"/>
    <w:rsid w:val="00CD7FFE"/>
    <w:rsid w:val="00CF3F52"/>
    <w:rsid w:val="00D13884"/>
    <w:rsid w:val="00D15AA1"/>
    <w:rsid w:val="00D318E1"/>
    <w:rsid w:val="00D43670"/>
    <w:rsid w:val="00D54B12"/>
    <w:rsid w:val="00D67629"/>
    <w:rsid w:val="00DC61B4"/>
    <w:rsid w:val="00DD4724"/>
    <w:rsid w:val="00DE2BBE"/>
    <w:rsid w:val="00DE530B"/>
    <w:rsid w:val="00DF7EC8"/>
    <w:rsid w:val="00E108F3"/>
    <w:rsid w:val="00E20247"/>
    <w:rsid w:val="00E32697"/>
    <w:rsid w:val="00E3332A"/>
    <w:rsid w:val="00E34187"/>
    <w:rsid w:val="00E3481A"/>
    <w:rsid w:val="00E543D7"/>
    <w:rsid w:val="00E637AB"/>
    <w:rsid w:val="00E65AB9"/>
    <w:rsid w:val="00E6641B"/>
    <w:rsid w:val="00E76A58"/>
    <w:rsid w:val="00E776AF"/>
    <w:rsid w:val="00E804D1"/>
    <w:rsid w:val="00E87871"/>
    <w:rsid w:val="00EA1E41"/>
    <w:rsid w:val="00EA3873"/>
    <w:rsid w:val="00EB6CCA"/>
    <w:rsid w:val="00ED11BD"/>
    <w:rsid w:val="00ED69A9"/>
    <w:rsid w:val="00F00DD4"/>
    <w:rsid w:val="00F20223"/>
    <w:rsid w:val="00F2562D"/>
    <w:rsid w:val="00F331E4"/>
    <w:rsid w:val="00F61928"/>
    <w:rsid w:val="00F72440"/>
    <w:rsid w:val="00F7404C"/>
    <w:rsid w:val="00F74292"/>
    <w:rsid w:val="00F80364"/>
    <w:rsid w:val="00F824B0"/>
    <w:rsid w:val="00F87A6A"/>
    <w:rsid w:val="00F952B2"/>
    <w:rsid w:val="00F95AC4"/>
    <w:rsid w:val="00FA50F3"/>
    <w:rsid w:val="00FA75A6"/>
    <w:rsid w:val="00FC4758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1D7"/>
    <w:pPr>
      <w:spacing w:after="0" w:line="240" w:lineRule="auto"/>
    </w:pPr>
    <w:rPr>
      <w:rFonts w:ascii="MAC C Times" w:eastAsia="Calibri" w:hAnsi="MAC C Times" w:cs="MAC C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A71D7"/>
    <w:pPr>
      <w:ind w:left="720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rsid w:val="001A71D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A71D7"/>
    <w:rPr>
      <w:rFonts w:cs="Times New Roman"/>
    </w:rPr>
  </w:style>
  <w:style w:type="character" w:styleId="Strong">
    <w:name w:val="Strong"/>
    <w:basedOn w:val="DefaultParagraphFont"/>
    <w:qFormat/>
    <w:rsid w:val="001A71D7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D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Zadaci%202020\Izvestaj%20za%20zdravstvena%20sostojba%20za%202020\Book2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Zadaci%202020\Izvestaj%20za%20zdravstvena%20sostojba%20za%202020\Book2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Zadaci%202020\Izvestaj%20za%20zdravstvena%20sostojba%20za%202020\Book2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D:\Zadaci%202020\Izvestaj%20za%20zdravstvena%20sostojba%20za%202020\Book2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D:\Zadaci%202020\Izvestaj%20za%20zdravstvena%20sostojba%20za%202020\Book2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D:\Zadaci%202020\Izvestaj%20za%20zdravstvena%20sostojba%20za%202020\Book2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D:\Zadaci%202020\Izvestaj%20za%20zdravstvena%20sostojba%20za%202020\Book2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oleObject" Target="file:///D:\Zadaci%202020\Izvestaj%20za%20zdravstvena%20sostojba%20za%202020\Book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mk-MK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754352829073076E-2"/>
          <c:y val="3.4722088310389775E-2"/>
          <c:w val="0.62234416808109683"/>
          <c:h val="0.93055555555555569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17969737575347675"/>
                  <c:y val="-0.113923616690770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524752745007188E-2"/>
                  <c:y val="5.01427946506689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5684903244468949E-2"/>
                  <c:y val="-1.8200537432820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17860483702513E-2"/>
                  <c:y val="-1.99509436320460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5326449245747524E-2"/>
                  <c:y val="-2.19788151481065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6555001127290209E-2"/>
                  <c:y val="-1.536276715410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1396071165844755E-3"/>
                  <c:y val="-3.76493563304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5406097594202166E-2"/>
                  <c:y val="-1.9942194725659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mk-M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Sheet1!$A$15:$A$23</c:f>
              <c:strCache>
                <c:ptCount val="9"/>
                <c:pt idx="0">
                  <c:v>Болести на циркулаторниот систем</c:v>
                </c:pt>
                <c:pt idx="1">
                  <c:v>Неоплазми</c:v>
                </c:pt>
                <c:pt idx="2">
                  <c:v>Симптоми, знаци и наоди  и недов. дефинирани состојби</c:v>
                </c:pt>
                <c:pt idx="3">
                  <c:v>Ендокрини, нутритивни и метаболични болести</c:v>
                </c:pt>
                <c:pt idx="4">
                  <c:v>Болести на респираторниот систем</c:v>
                </c:pt>
                <c:pt idx="5">
                  <c:v>Болести на нервниот систем</c:v>
                </c:pt>
                <c:pt idx="6">
                  <c:v>Повреди и труења</c:v>
                </c:pt>
                <c:pt idx="7">
                  <c:v>Болести на генитоуринарниот систем</c:v>
                </c:pt>
                <c:pt idx="8">
                  <c:v>Се друго</c:v>
                </c:pt>
              </c:strCache>
            </c:strRef>
          </c:cat>
          <c:val>
            <c:numRef>
              <c:f>Sheet1!$B$15:$B$23</c:f>
              <c:numCache>
                <c:formatCode>0.0</c:formatCode>
                <c:ptCount val="9"/>
                <c:pt idx="0">
                  <c:v>51.775408392839722</c:v>
                </c:pt>
                <c:pt idx="1">
                  <c:v>18.585542404382235</c:v>
                </c:pt>
                <c:pt idx="2">
                  <c:v>10.701359679154843</c:v>
                </c:pt>
                <c:pt idx="3">
                  <c:v>4.6463856010955675</c:v>
                </c:pt>
                <c:pt idx="4">
                  <c:v>4.4165117871466304</c:v>
                </c:pt>
                <c:pt idx="5">
                  <c:v>3.1742150053800247</c:v>
                </c:pt>
                <c:pt idx="6">
                  <c:v>2.2253741563141958</c:v>
                </c:pt>
                <c:pt idx="7">
                  <c:v>1.780299325051355</c:v>
                </c:pt>
                <c:pt idx="8">
                  <c:v>2.694903648635433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2509024702544622"/>
          <c:y val="3.3082114735658044E-2"/>
          <c:w val="0.24897782428736151"/>
          <c:h val="0.9655818022747169"/>
        </c:manualLayout>
      </c:layout>
      <c:overlay val="0"/>
      <c:txPr>
        <a:bodyPr/>
        <a:lstStyle/>
        <a:p>
          <a:pPr>
            <a:defRPr sz="700" baseline="0"/>
          </a:pPr>
          <a:endParaRPr lang="mk-MK"/>
        </a:p>
      </c:txPr>
    </c:legend>
    <c:plotVisOnly val="1"/>
    <c:dispBlanksAs val="gap"/>
    <c:showDLblsOverMax val="0"/>
  </c:chart>
  <c:spPr>
    <a:ln w="12700">
      <a:solidFill>
        <a:schemeClr val="tx1"/>
      </a:solidFill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>
          <a:latin typeface="Verdana" pitchFamily="34" charset="0"/>
          <a:ea typeface="Verdana" pitchFamily="34" charset="0"/>
          <a:cs typeface="Verdana" pitchFamily="34" charset="0"/>
        </a:defRPr>
      </a:pPr>
      <a:endParaRPr lang="mk-MK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mk-MK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9363950814165089E-2"/>
          <c:y val="0.14096092155147383"/>
          <c:w val="0.88000782602596617"/>
          <c:h val="0.74305920093321665"/>
        </c:manualLayout>
      </c:layout>
      <c:lineChart>
        <c:grouping val="standard"/>
        <c:varyColors val="0"/>
        <c:ser>
          <c:idx val="0"/>
          <c:order val="0"/>
          <c:tx>
            <c:strRef>
              <c:f>Sheet2!$B$3</c:f>
              <c:strCache>
                <c:ptCount val="1"/>
                <c:pt idx="0">
                  <c:v>Ст/100000</c:v>
                </c:pt>
              </c:strCache>
            </c:strRef>
          </c:tx>
          <c:dLbls>
            <c:dLbl>
              <c:idx val="0"/>
              <c:layout>
                <c:manualLayout>
                  <c:x val="-5.2401738716892472E-2"/>
                  <c:y val="-5.5555555555555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0164959267543332E-2"/>
                  <c:y val="-5.5555555555555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0756907890916828E-2"/>
                  <c:y val="-4.6296296296296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9112077064940258E-2"/>
                  <c:y val="-6.94444444444445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0483667643734527E-2"/>
                  <c:y val="-7.407407407407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4768856447688583E-2"/>
                  <c:y val="-6.9444444444444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4768856447688583E-2"/>
                  <c:y val="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2822384428224031E-2"/>
                  <c:y val="-5.5555555555555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503649635036498E-2"/>
                  <c:y val="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1143552311435532E-2"/>
                  <c:y val="4.62962962962964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/>
                </a:pPr>
                <a:endParaRPr lang="mk-M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Sheet2!$A$4:$A$13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Sheet2!$B$4:$B$13</c:f>
              <c:numCache>
                <c:formatCode>General</c:formatCode>
                <c:ptCount val="10"/>
                <c:pt idx="0">
                  <c:v>538.6</c:v>
                </c:pt>
                <c:pt idx="1">
                  <c:v>559.9</c:v>
                </c:pt>
                <c:pt idx="2">
                  <c:v>578.6</c:v>
                </c:pt>
                <c:pt idx="3">
                  <c:v>537.9</c:v>
                </c:pt>
                <c:pt idx="4">
                  <c:v>545.1</c:v>
                </c:pt>
                <c:pt idx="5">
                  <c:v>576.70000000000005</c:v>
                </c:pt>
                <c:pt idx="6">
                  <c:v>526.9</c:v>
                </c:pt>
                <c:pt idx="7">
                  <c:v>538.5</c:v>
                </c:pt>
                <c:pt idx="8">
                  <c:v>512.1</c:v>
                </c:pt>
                <c:pt idx="9">
                  <c:v>509.8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499840"/>
        <c:axId val="144501376"/>
      </c:lineChart>
      <c:catAx>
        <c:axId val="144499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4501376"/>
        <c:crosses val="autoZero"/>
        <c:auto val="1"/>
        <c:lblAlgn val="ctr"/>
        <c:lblOffset val="100"/>
        <c:noMultiLvlLbl val="0"/>
      </c:catAx>
      <c:valAx>
        <c:axId val="14450137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44499840"/>
        <c:crosses val="autoZero"/>
        <c:crossBetween val="between"/>
      </c:valAx>
    </c:plotArea>
    <c:plotVisOnly val="1"/>
    <c:dispBlanksAs val="gap"/>
    <c:showDLblsOverMax val="0"/>
  </c:chart>
  <c:spPr>
    <a:ln w="12700">
      <a:solidFill>
        <a:schemeClr val="tx1"/>
      </a:solidFill>
    </a:ln>
    <a:effectLst>
      <a:outerShdw blurRad="50800" dist="38100" dir="2700000" algn="tl" rotWithShape="0">
        <a:schemeClr val="tx1">
          <a:lumMod val="50000"/>
          <a:lumOff val="50000"/>
          <a:alpha val="40000"/>
        </a:schemeClr>
      </a:outerShdw>
    </a:effectLst>
  </c:spPr>
  <c:txPr>
    <a:bodyPr/>
    <a:lstStyle/>
    <a:p>
      <a:pPr>
        <a:defRPr sz="1100">
          <a:latin typeface="Arial" pitchFamily="34" charset="0"/>
          <a:cs typeface="Arial" pitchFamily="34" charset="0"/>
        </a:defRPr>
      </a:pPr>
      <a:endParaRPr lang="mk-MK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mk-MK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60989716710946"/>
          <c:y val="5.2124505563564856E-2"/>
          <c:w val="0.80528843469034461"/>
          <c:h val="0.830262097519500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Sheet3!$A$5</c:f>
              <c:strCache>
                <c:ptCount val="1"/>
                <c:pt idx="0">
                  <c:v>0-64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8.1148303950590705E-3"/>
                  <c:y val="-1.87793427230046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0852439107212325E-3"/>
                  <c:y val="-1.4084507042253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4190486463164707E-2"/>
                  <c:y val="-1.4084507042253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0137865186942957E-2"/>
                  <c:y val="-1.40845070422534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0137865186942957E-2"/>
                  <c:y val="-1.4084507042253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2176560121765599E-2"/>
                  <c:y val="-4.69520535285203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2176560121765599E-2"/>
                  <c:y val="-4.69520535285203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4205986808726534E-2"/>
                  <c:y val="4.69483568075117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8.117706747843752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01471334348046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/>
                </a:pPr>
                <a:endParaRPr lang="mk-M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Sheet3!$B$4:$K$4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Sheet3!$B$5:$K$5</c:f>
              <c:numCache>
                <c:formatCode>General</c:formatCode>
                <c:ptCount val="10"/>
                <c:pt idx="0">
                  <c:v>96.8</c:v>
                </c:pt>
                <c:pt idx="1">
                  <c:v>99.1</c:v>
                </c:pt>
                <c:pt idx="2" formatCode="0.0">
                  <c:v>101</c:v>
                </c:pt>
                <c:pt idx="3" formatCode="0.0">
                  <c:v>96</c:v>
                </c:pt>
                <c:pt idx="4">
                  <c:v>99.6</c:v>
                </c:pt>
                <c:pt idx="5">
                  <c:v>105.1</c:v>
                </c:pt>
                <c:pt idx="6">
                  <c:v>94.3</c:v>
                </c:pt>
                <c:pt idx="7">
                  <c:v>95.3</c:v>
                </c:pt>
                <c:pt idx="8">
                  <c:v>93.2</c:v>
                </c:pt>
                <c:pt idx="9">
                  <c:v>87.9</c:v>
                </c:pt>
              </c:numCache>
            </c:numRef>
          </c:val>
        </c:ser>
        <c:ser>
          <c:idx val="1"/>
          <c:order val="1"/>
          <c:tx>
            <c:strRef>
              <c:f>Sheet3!$A$6</c:f>
              <c:strCache>
                <c:ptCount val="1"/>
                <c:pt idx="0">
                  <c:v>65 +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6.0790118130211335E-3"/>
                  <c:y val="-3.28638497652583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0526212762217505E-3"/>
                  <c:y val="-1.4084507042253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1022064022819446E-3"/>
                  <c:y val="4.69483568075117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0790118130211093E-3"/>
                  <c:y val="4.69483568075117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1054023498204793E-3"/>
                  <c:y val="-4.69483568075117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0294266869609412E-3"/>
                  <c:y val="9.38967136150235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0588533739218833E-3"/>
                  <c:y val="-3.28638497652583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0588533739218825E-3"/>
                  <c:y val="-2.81690140845070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/>
                </a:pPr>
                <a:endParaRPr lang="mk-M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Sheet3!$B$4:$K$4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Sheet3!$B$6:$K$6</c:f>
              <c:numCache>
                <c:formatCode>0.0</c:formatCode>
                <c:ptCount val="10"/>
                <c:pt idx="0">
                  <c:v>3875.7</c:v>
                </c:pt>
                <c:pt idx="1">
                  <c:v>4012</c:v>
                </c:pt>
                <c:pt idx="2">
                  <c:v>4109</c:v>
                </c:pt>
                <c:pt idx="3">
                  <c:v>3718</c:v>
                </c:pt>
                <c:pt idx="4">
                  <c:v>3654.8</c:v>
                </c:pt>
                <c:pt idx="5">
                  <c:v>3777.5</c:v>
                </c:pt>
                <c:pt idx="6">
                  <c:v>3387.5</c:v>
                </c:pt>
                <c:pt idx="7">
                  <c:v>3387.3</c:v>
                </c:pt>
                <c:pt idx="8">
                  <c:v>3115.6</c:v>
                </c:pt>
                <c:pt idx="9">
                  <c:v>3042.9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4609664"/>
        <c:axId val="144611200"/>
        <c:axId val="0"/>
      </c:bar3DChart>
      <c:catAx>
        <c:axId val="144609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mk-MK"/>
          </a:p>
        </c:txPr>
        <c:crossAx val="144611200"/>
        <c:crosses val="autoZero"/>
        <c:auto val="1"/>
        <c:lblAlgn val="ctr"/>
        <c:lblOffset val="100"/>
        <c:noMultiLvlLbl val="0"/>
      </c:catAx>
      <c:valAx>
        <c:axId val="144611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mk-MK"/>
          </a:p>
        </c:txPr>
        <c:crossAx val="1446096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0898532660586373"/>
          <c:y val="0.38702709696499388"/>
          <c:w val="7.8838113272370627E-2"/>
          <c:h val="0.16021810653950028"/>
        </c:manualLayout>
      </c:layout>
      <c:overlay val="0"/>
      <c:txPr>
        <a:bodyPr/>
        <a:lstStyle/>
        <a:p>
          <a:pPr>
            <a:defRPr sz="1000"/>
          </a:pPr>
          <a:endParaRPr lang="mk-MK"/>
        </a:p>
      </c:txPr>
    </c:legend>
    <c:plotVisOnly val="1"/>
    <c:dispBlanksAs val="gap"/>
    <c:showDLblsOverMax val="0"/>
  </c:chart>
  <c:spPr>
    <a:ln w="12700">
      <a:solidFill>
        <a:sysClr val="windowText" lastClr="000000"/>
      </a:solidFill>
    </a:ln>
    <a:effectLst>
      <a:outerShdw blurRad="50800" dist="38100" dir="10800000" algn="r" rotWithShape="0">
        <a:prstClr val="black">
          <a:alpha val="40000"/>
        </a:prstClr>
      </a:outerShdw>
    </a:effectLst>
  </c:spPr>
  <c:txPr>
    <a:bodyPr/>
    <a:lstStyle/>
    <a:p>
      <a:pPr>
        <a:defRPr sz="1200">
          <a:latin typeface="Arial" pitchFamily="34" charset="0"/>
          <a:cs typeface="Arial" pitchFamily="34" charset="0"/>
        </a:defRPr>
      </a:pPr>
      <a:endParaRPr lang="mk-MK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mk-MK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7830431746490545E-2"/>
          <c:y val="5.1400554097404488E-2"/>
          <c:w val="0.8175324873381653"/>
          <c:h val="0.83261956838728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Sheet3!$A$27</c:f>
              <c:strCache>
                <c:ptCount val="1"/>
                <c:pt idx="0">
                  <c:v>0-64 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6.116207951070339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15494393476045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19367991845056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8.1549439347604526E-3"/>
                  <c:y val="-4.36595425571802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2232415902140656E-2"/>
                  <c:y val="-4.62962962962955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019367991845056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019367991845056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0193679918450561E-2"/>
                  <c:y val="9.52380952380966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8.1549439347604526E-3"/>
                  <c:y val="4.7619047619047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2232415902140656E-2"/>
                  <c:y val="9.52343457067869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/>
                </a:pPr>
                <a:endParaRPr lang="mk-M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Sheet3!$B$26:$K$26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Sheet3!$B$27:$K$27</c:f>
              <c:numCache>
                <c:formatCode>General</c:formatCode>
                <c:ptCount val="10"/>
                <c:pt idx="0">
                  <c:v>30.8</c:v>
                </c:pt>
                <c:pt idx="1">
                  <c:v>27.9</c:v>
                </c:pt>
                <c:pt idx="2" formatCode="0.0">
                  <c:v>31</c:v>
                </c:pt>
                <c:pt idx="3" formatCode="0.0">
                  <c:v>27.2</c:v>
                </c:pt>
                <c:pt idx="4">
                  <c:v>27.6</c:v>
                </c:pt>
                <c:pt idx="5">
                  <c:v>23.6</c:v>
                </c:pt>
                <c:pt idx="6">
                  <c:v>24.1</c:v>
                </c:pt>
                <c:pt idx="7">
                  <c:v>23.7</c:v>
                </c:pt>
                <c:pt idx="8">
                  <c:v>17.100000000000001</c:v>
                </c:pt>
                <c:pt idx="9">
                  <c:v>15.6</c:v>
                </c:pt>
              </c:numCache>
            </c:numRef>
          </c:val>
        </c:ser>
        <c:ser>
          <c:idx val="1"/>
          <c:order val="1"/>
          <c:tx>
            <c:strRef>
              <c:f>Sheet3!$A$28</c:f>
              <c:strCache>
                <c:ptCount val="1"/>
                <c:pt idx="0">
                  <c:v>65 +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effectLst>
              <a:outerShdw blurRad="50800" dist="38100" dir="10800000" algn="r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dLbl>
              <c:idx val="4"/>
              <c:layout>
                <c:manualLayout>
                  <c:x val="8.1549439347604526E-3"/>
                  <c:y val="-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6.116207951070343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4.0774719673802263E-3"/>
                  <c:y val="4.7619047619047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/>
                </a:pPr>
                <a:endParaRPr lang="mk-M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Sheet3!$B$26:$K$26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Sheet3!$B$28:$K$28</c:f>
              <c:numCache>
                <c:formatCode>General</c:formatCode>
                <c:ptCount val="10"/>
                <c:pt idx="0" formatCode="0.0">
                  <c:v>496.5</c:v>
                </c:pt>
                <c:pt idx="1">
                  <c:v>485.9</c:v>
                </c:pt>
                <c:pt idx="2" formatCode="0.0">
                  <c:v>484.5</c:v>
                </c:pt>
                <c:pt idx="3">
                  <c:v>434.5</c:v>
                </c:pt>
                <c:pt idx="4" formatCode="0.0">
                  <c:v>393.3</c:v>
                </c:pt>
                <c:pt idx="5">
                  <c:v>366.7</c:v>
                </c:pt>
                <c:pt idx="6" formatCode="0.0">
                  <c:v>385.3</c:v>
                </c:pt>
                <c:pt idx="7">
                  <c:v>357.7</c:v>
                </c:pt>
                <c:pt idx="8" formatCode="0.0">
                  <c:v>290.2</c:v>
                </c:pt>
                <c:pt idx="9">
                  <c:v>225.3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7868544"/>
        <c:axId val="197886720"/>
        <c:axId val="0"/>
      </c:bar3DChart>
      <c:catAx>
        <c:axId val="197868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mk-MK"/>
          </a:p>
        </c:txPr>
        <c:crossAx val="197886720"/>
        <c:crosses val="autoZero"/>
        <c:auto val="1"/>
        <c:lblAlgn val="ctr"/>
        <c:lblOffset val="100"/>
        <c:noMultiLvlLbl val="0"/>
      </c:catAx>
      <c:valAx>
        <c:axId val="197886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mk-MK"/>
          </a:p>
        </c:txPr>
        <c:crossAx val="19786854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000"/>
          </a:pPr>
          <a:endParaRPr lang="mk-MK"/>
        </a:p>
      </c:txPr>
    </c:legend>
    <c:plotVisOnly val="1"/>
    <c:dispBlanksAs val="gap"/>
    <c:showDLblsOverMax val="0"/>
  </c:chart>
  <c:spPr>
    <a:ln w="12700">
      <a:solidFill>
        <a:sysClr val="windowText" lastClr="000000"/>
      </a:solidFill>
    </a:ln>
    <a:effectLst>
      <a:outerShdw blurRad="50800" dist="38100" dir="10800000" algn="r" rotWithShape="0">
        <a:prstClr val="black">
          <a:alpha val="40000"/>
        </a:prstClr>
      </a:outerShdw>
    </a:effectLst>
  </c:spPr>
  <c:txPr>
    <a:bodyPr/>
    <a:lstStyle/>
    <a:p>
      <a:pPr>
        <a:defRPr sz="1200">
          <a:latin typeface="Arial" pitchFamily="34" charset="0"/>
          <a:cs typeface="Arial" pitchFamily="34" charset="0"/>
        </a:defRPr>
      </a:pPr>
      <a:endParaRPr lang="mk-MK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mk-MK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883246517262266"/>
          <c:y val="5.2869141357330424E-2"/>
          <c:w val="0.77934294367050538"/>
          <c:h val="0.8278372703412073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Sheet3!$A$51</c:f>
              <c:strCache>
                <c:ptCount val="1"/>
                <c:pt idx="0">
                  <c:v>0-64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025641025641026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2307692307692308E-2"/>
                  <c:y val="8.730057879785278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2307853825964063E-2"/>
                  <c:y val="4.7619047619047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0256410256410341E-2"/>
                  <c:y val="-4.76190476190468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230769230769230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0256410256410263E-2"/>
                  <c:y val="4.7619047619048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0256410256410263E-2"/>
                  <c:y val="4.7619047619048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025641025641026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8.2051282051282363E-3"/>
                  <c:y val="8.7300578797852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230769230769230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/>
                </a:pPr>
                <a:endParaRPr lang="mk-M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Sheet3!$B$50:$K$50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Sheet3!$B$51:$K$51</c:f>
              <c:numCache>
                <c:formatCode>General</c:formatCode>
                <c:ptCount val="10"/>
                <c:pt idx="0">
                  <c:v>30.1</c:v>
                </c:pt>
                <c:pt idx="1">
                  <c:v>29.2</c:v>
                </c:pt>
                <c:pt idx="2" formatCode="0.0">
                  <c:v>28.8</c:v>
                </c:pt>
                <c:pt idx="3" formatCode="0.0">
                  <c:v>26.8</c:v>
                </c:pt>
                <c:pt idx="4">
                  <c:v>26.3</c:v>
                </c:pt>
                <c:pt idx="5">
                  <c:v>26.2</c:v>
                </c:pt>
                <c:pt idx="6" formatCode="0.0">
                  <c:v>22</c:v>
                </c:pt>
                <c:pt idx="7" formatCode="0.0">
                  <c:v>21.4</c:v>
                </c:pt>
                <c:pt idx="8" formatCode="0.0">
                  <c:v>18.7</c:v>
                </c:pt>
                <c:pt idx="9" formatCode="0.0">
                  <c:v>18.600000000000001</c:v>
                </c:pt>
              </c:numCache>
            </c:numRef>
          </c:val>
        </c:ser>
        <c:ser>
          <c:idx val="1"/>
          <c:order val="1"/>
          <c:tx>
            <c:strRef>
              <c:f>Sheet3!$A$52</c:f>
              <c:strCache>
                <c:ptCount val="1"/>
                <c:pt idx="0">
                  <c:v>65 +</c:v>
                </c:pt>
              </c:strCache>
            </c:strRef>
          </c:tx>
          <c:spPr>
            <a:solidFill>
              <a:srgbClr val="F79646">
                <a:lumMod val="75000"/>
              </a:srgbClr>
            </a:solidFill>
          </c:spPr>
          <c:invertIfNegative val="0"/>
          <c:dLbls>
            <c:dLbl>
              <c:idx val="0"/>
              <c:layout>
                <c:manualLayout>
                  <c:x val="1.0256410256410263E-2"/>
                  <c:y val="-4.7619047619047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307692307692308E-2"/>
                  <c:y val="-4.7619047619047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20512820512825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153846153846241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2307692307692308E-2"/>
                  <c:y val="-4.28571428571429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2051282051282485E-3"/>
                  <c:y val="-5.23809523809523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-1.42857142857142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6.153846153846172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/>
                </a:pPr>
                <a:endParaRPr lang="mk-M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Sheet3!$B$50:$K$50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Sheet3!$B$52:$K$52</c:f>
              <c:numCache>
                <c:formatCode>0.0</c:formatCode>
                <c:ptCount val="10"/>
                <c:pt idx="0" formatCode="General">
                  <c:v>1361.8</c:v>
                </c:pt>
                <c:pt idx="1">
                  <c:v>1367</c:v>
                </c:pt>
                <c:pt idx="2" formatCode="General">
                  <c:v>1360.3</c:v>
                </c:pt>
                <c:pt idx="3" formatCode="General">
                  <c:v>1237.5</c:v>
                </c:pt>
                <c:pt idx="4" formatCode="General">
                  <c:v>1164.9000000000001</c:v>
                </c:pt>
                <c:pt idx="5" formatCode="General">
                  <c:v>1141.9000000000001</c:v>
                </c:pt>
                <c:pt idx="6" formatCode="General">
                  <c:v>986.3</c:v>
                </c:pt>
                <c:pt idx="7" formatCode="General">
                  <c:v>896.5</c:v>
                </c:pt>
                <c:pt idx="8" formatCode="General">
                  <c:v>821.8</c:v>
                </c:pt>
                <c:pt idx="9" formatCode="General">
                  <c:v>845.6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7908736"/>
        <c:axId val="197951488"/>
        <c:axId val="0"/>
      </c:bar3DChart>
      <c:catAx>
        <c:axId val="197908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mk-MK"/>
          </a:p>
        </c:txPr>
        <c:crossAx val="197951488"/>
        <c:crosses val="autoZero"/>
        <c:auto val="1"/>
        <c:lblAlgn val="ctr"/>
        <c:lblOffset val="100"/>
        <c:noMultiLvlLbl val="0"/>
      </c:catAx>
      <c:valAx>
        <c:axId val="197951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mk-MK"/>
          </a:p>
        </c:txPr>
        <c:crossAx val="19790873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000"/>
          </a:pPr>
          <a:endParaRPr lang="mk-MK"/>
        </a:p>
      </c:txPr>
    </c:legend>
    <c:plotVisOnly val="1"/>
    <c:dispBlanksAs val="gap"/>
    <c:showDLblsOverMax val="0"/>
  </c:chart>
  <c:spPr>
    <a:ln w="12700">
      <a:solidFill>
        <a:sysClr val="windowText" lastClr="000000"/>
      </a:solidFill>
    </a:ln>
    <a:effectLst>
      <a:outerShdw blurRad="50800" dist="38100" dir="10800000" algn="r" rotWithShape="0">
        <a:prstClr val="black">
          <a:alpha val="40000"/>
        </a:prstClr>
      </a:outerShdw>
    </a:effectLst>
  </c:spPr>
  <c:txPr>
    <a:bodyPr/>
    <a:lstStyle/>
    <a:p>
      <a:pPr>
        <a:defRPr sz="1200">
          <a:latin typeface="Arial" pitchFamily="34" charset="0"/>
          <a:cs typeface="Arial" pitchFamily="34" charset="0"/>
        </a:defRPr>
      </a:pPr>
      <a:endParaRPr lang="mk-MK"/>
    </a:p>
  </c:tx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mk-MK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470456903766222"/>
          <c:y val="3.858342707161605E-2"/>
          <c:w val="0.74243535576827469"/>
          <c:h val="0.82783727034120735"/>
        </c:manualLayout>
      </c:layout>
      <c:lineChart>
        <c:grouping val="standard"/>
        <c:varyColors val="0"/>
        <c:ser>
          <c:idx val="0"/>
          <c:order val="0"/>
          <c:tx>
            <c:strRef>
              <c:f>Sheet2!$A$32</c:f>
              <c:strCache>
                <c:ptCount val="1"/>
                <c:pt idx="0">
                  <c:v>Мажи </c:v>
                </c:pt>
              </c:strCache>
            </c:strRef>
          </c:tx>
          <c:dLbls>
            <c:dLbl>
              <c:idx val="0"/>
              <c:layout>
                <c:manualLayout>
                  <c:x val="-4.2296065799800844E-2"/>
                  <c:y val="5.23809523809523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0281967428381783E-2"/>
                  <c:y val="5.71428571428571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229638298064687E-2"/>
                  <c:y val="5.71428571428571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8338360914058034E-2"/>
                  <c:y val="6.6666666666666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2296065799800844E-2"/>
                  <c:y val="5.71428571428571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4310164171220134E-2"/>
                  <c:y val="6.19047619047619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8338360914058104E-2"/>
                  <c:y val="5.71428571428571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6324262542639015E-2"/>
                  <c:y val="6.19047619047619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2296065799800844E-2"/>
                  <c:y val="5.23809523809523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2296065799800844E-2"/>
                  <c:y val="4.7619047619047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/>
                </a:pPr>
                <a:endParaRPr lang="mk-M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Sheet2!$B$31:$K$31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Sheet2!$B$32:$K$32</c:f>
              <c:numCache>
                <c:formatCode>General</c:formatCode>
                <c:ptCount val="10"/>
                <c:pt idx="0">
                  <c:v>534.20000000000005</c:v>
                </c:pt>
                <c:pt idx="1">
                  <c:v>539.4</c:v>
                </c:pt>
                <c:pt idx="2">
                  <c:v>555.79999999999995</c:v>
                </c:pt>
                <c:pt idx="3" formatCode="0.0">
                  <c:v>529</c:v>
                </c:pt>
                <c:pt idx="4">
                  <c:v>524.79999999999995</c:v>
                </c:pt>
                <c:pt idx="5" formatCode="0.0">
                  <c:v>551</c:v>
                </c:pt>
                <c:pt idx="6">
                  <c:v>517.20000000000005</c:v>
                </c:pt>
                <c:pt idx="7" formatCode="0.0">
                  <c:v>516.29999999999995</c:v>
                </c:pt>
                <c:pt idx="8">
                  <c:v>497.2</c:v>
                </c:pt>
                <c:pt idx="9" formatCode="0.0">
                  <c:v>496.8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Sheet2!$A$33</c:f>
              <c:strCache>
                <c:ptCount val="1"/>
                <c:pt idx="0">
                  <c:v>Жени</c:v>
                </c:pt>
              </c:strCache>
            </c:strRef>
          </c:tx>
          <c:dLbls>
            <c:dLbl>
              <c:idx val="0"/>
              <c:layout>
                <c:manualLayout>
                  <c:x val="-4.4310164171219933E-2"/>
                  <c:y val="-6.6666666666666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8338360914058104E-2"/>
                  <c:y val="-5.71428571428571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6324262542639015E-2"/>
                  <c:y val="-5.23809523809523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0281967428381693E-2"/>
                  <c:y val="-8.57142857142857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2366557656896545E-2"/>
                  <c:y val="-6.19047619047619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0352459285477193E-2"/>
                  <c:y val="-4.7619047619047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0281967428381783E-2"/>
                  <c:y val="-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4310164171219933E-2"/>
                  <c:y val="-6.19047619047619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2296065799800844E-2"/>
                  <c:y val="-5.23809523809523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2296065799800844E-2"/>
                  <c:y val="-5.71428571428571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/>
                </a:pPr>
                <a:endParaRPr lang="mk-M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Sheet2!$B$31:$K$31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Sheet2!$B$33:$K$33</c:f>
              <c:numCache>
                <c:formatCode>General</c:formatCode>
                <c:ptCount val="10"/>
                <c:pt idx="0">
                  <c:v>543.1</c:v>
                </c:pt>
                <c:pt idx="1">
                  <c:v>580.5</c:v>
                </c:pt>
                <c:pt idx="2">
                  <c:v>601.5</c:v>
                </c:pt>
                <c:pt idx="3">
                  <c:v>546.79999999999995</c:v>
                </c:pt>
                <c:pt idx="4">
                  <c:v>565.5</c:v>
                </c:pt>
                <c:pt idx="5">
                  <c:v>602.5</c:v>
                </c:pt>
                <c:pt idx="6">
                  <c:v>536.6</c:v>
                </c:pt>
                <c:pt idx="7">
                  <c:v>560.9</c:v>
                </c:pt>
                <c:pt idx="8" formatCode="0.0">
                  <c:v>527</c:v>
                </c:pt>
                <c:pt idx="9">
                  <c:v>522.79999999999995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7964928"/>
        <c:axId val="197966464"/>
      </c:lineChart>
      <c:catAx>
        <c:axId val="197964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mk-MK"/>
          </a:p>
        </c:txPr>
        <c:crossAx val="197966464"/>
        <c:crosses val="autoZero"/>
        <c:auto val="1"/>
        <c:lblAlgn val="ctr"/>
        <c:lblOffset val="100"/>
        <c:noMultiLvlLbl val="0"/>
      </c:catAx>
      <c:valAx>
        <c:axId val="1979664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mk-MK"/>
          </a:p>
        </c:txPr>
        <c:crossAx val="1979649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120840034439773"/>
          <c:y val="0.26636557930258847"/>
          <c:w val="0.11872110779851014"/>
          <c:h val="0.16250693663292157"/>
        </c:manualLayout>
      </c:layout>
      <c:overlay val="0"/>
      <c:txPr>
        <a:bodyPr/>
        <a:lstStyle/>
        <a:p>
          <a:pPr>
            <a:defRPr sz="1000"/>
          </a:pPr>
          <a:endParaRPr lang="mk-MK"/>
        </a:p>
      </c:txPr>
    </c:legend>
    <c:plotVisOnly val="1"/>
    <c:dispBlanksAs val="gap"/>
    <c:showDLblsOverMax val="0"/>
  </c:chart>
  <c:spPr>
    <a:ln w="12700">
      <a:solidFill>
        <a:schemeClr val="tx1"/>
      </a:solidFill>
    </a:ln>
    <a:effectLst>
      <a:outerShdw blurRad="50800" dist="38100" dir="10800000" algn="r" rotWithShape="0">
        <a:prstClr val="black">
          <a:alpha val="40000"/>
        </a:prstClr>
      </a:outerShdw>
    </a:effectLst>
  </c:spPr>
  <c:txPr>
    <a:bodyPr/>
    <a:lstStyle/>
    <a:p>
      <a:pPr>
        <a:defRPr sz="1200">
          <a:latin typeface="Arial" pitchFamily="34" charset="0"/>
          <a:cs typeface="Arial" pitchFamily="34" charset="0"/>
        </a:defRPr>
      </a:pPr>
      <a:endParaRPr lang="mk-MK"/>
    </a:p>
  </c:tx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mk-MK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436051828363085E-2"/>
          <c:y val="5.2680994946806475E-2"/>
          <c:w val="0.82128636635352703"/>
          <c:h val="0.828449949094441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Sheet2!$A$50</c:f>
              <c:strCache>
                <c:ptCount val="1"/>
                <c:pt idx="0">
                  <c:v>Мажи 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dLbl>
              <c:idx val="7"/>
              <c:layout>
                <c:manualLayout>
                  <c:x val="1.2121210193078788E-2"/>
                  <c:y val="-4.74495848161325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1.42348754448398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4.040403397692939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>
                    <a:latin typeface="Arial" pitchFamily="34" charset="0"/>
                    <a:cs typeface="Arial" pitchFamily="34" charset="0"/>
                  </a:defRPr>
                </a:pPr>
                <a:endParaRPr lang="mk-M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Sheet2!$B$49:$K$49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Sheet2!$B$50:$K$50</c:f>
              <c:numCache>
                <c:formatCode>General</c:formatCode>
                <c:ptCount val="10"/>
                <c:pt idx="0">
                  <c:v>105.5</c:v>
                </c:pt>
                <c:pt idx="1">
                  <c:v>100.1</c:v>
                </c:pt>
                <c:pt idx="2">
                  <c:v>101.6</c:v>
                </c:pt>
                <c:pt idx="3" formatCode="0.0">
                  <c:v>95.6</c:v>
                </c:pt>
                <c:pt idx="4">
                  <c:v>88.4</c:v>
                </c:pt>
                <c:pt idx="5">
                  <c:v>80.099999999999994</c:v>
                </c:pt>
                <c:pt idx="6">
                  <c:v>86.4</c:v>
                </c:pt>
                <c:pt idx="7">
                  <c:v>80.8</c:v>
                </c:pt>
                <c:pt idx="8">
                  <c:v>64.5</c:v>
                </c:pt>
                <c:pt idx="9">
                  <c:v>52.5</c:v>
                </c:pt>
              </c:numCache>
            </c:numRef>
          </c:val>
        </c:ser>
        <c:ser>
          <c:idx val="1"/>
          <c:order val="1"/>
          <c:tx>
            <c:strRef>
              <c:f>Sheet2!$A$51</c:f>
              <c:strCache>
                <c:ptCount val="1"/>
                <c:pt idx="0">
                  <c:v>Жени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8099416511665235E-2"/>
                  <c:y val="-9.48991696322657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4160180679204536E-2"/>
                  <c:y val="-1.42348754448399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2094325603384212E-2"/>
                  <c:y val="-3.7361877807978875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2112459697373785E-2"/>
                  <c:y val="-3.3215082990071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2085099485389521E-2"/>
                  <c:y val="-3.3215082990071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6161613590771718E-2"/>
                  <c:y val="-4.74495848161329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2222218687311258E-2"/>
                  <c:y val="-3.32147093712929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0202016988464733E-2"/>
                  <c:y val="-1.4234875444839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020201698846473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8181815289618253E-2"/>
                  <c:y val="-9.48991696322657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>
                    <a:latin typeface="Arial" pitchFamily="34" charset="0"/>
                    <a:cs typeface="Arial" pitchFamily="34" charset="0"/>
                  </a:defRPr>
                </a:pPr>
                <a:endParaRPr lang="mk-M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Sheet2!$B$49:$K$49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Sheet2!$B$51:$K$51</c:f>
              <c:numCache>
                <c:formatCode>General</c:formatCode>
                <c:ptCount val="10"/>
                <c:pt idx="0" formatCode="0.0">
                  <c:v>65</c:v>
                </c:pt>
                <c:pt idx="1">
                  <c:v>63.6</c:v>
                </c:pt>
                <c:pt idx="2">
                  <c:v>68.400000000000006</c:v>
                </c:pt>
                <c:pt idx="3">
                  <c:v>58.1</c:v>
                </c:pt>
                <c:pt idx="4">
                  <c:v>58.3</c:v>
                </c:pt>
                <c:pt idx="5">
                  <c:v>55.2</c:v>
                </c:pt>
                <c:pt idx="6">
                  <c:v>56.6</c:v>
                </c:pt>
                <c:pt idx="7">
                  <c:v>56.6</c:v>
                </c:pt>
                <c:pt idx="8">
                  <c:v>45.2</c:v>
                </c:pt>
                <c:pt idx="9">
                  <c:v>38.6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8013696"/>
        <c:axId val="198015232"/>
        <c:axId val="0"/>
      </c:bar3DChart>
      <c:catAx>
        <c:axId val="198013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Arial" pitchFamily="34" charset="0"/>
                <a:cs typeface="Arial" pitchFamily="34" charset="0"/>
              </a:defRPr>
            </a:pPr>
            <a:endParaRPr lang="mk-MK"/>
          </a:p>
        </c:txPr>
        <c:crossAx val="198015232"/>
        <c:crosses val="autoZero"/>
        <c:auto val="1"/>
        <c:lblAlgn val="ctr"/>
        <c:lblOffset val="100"/>
        <c:noMultiLvlLbl val="0"/>
      </c:catAx>
      <c:valAx>
        <c:axId val="198015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Arial" pitchFamily="34" charset="0"/>
                <a:cs typeface="Arial" pitchFamily="34" charset="0"/>
              </a:defRPr>
            </a:pPr>
            <a:endParaRPr lang="mk-MK"/>
          </a:p>
        </c:txPr>
        <c:crossAx val="19801369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mk-MK"/>
        </a:p>
      </c:txPr>
    </c:legend>
    <c:plotVisOnly val="1"/>
    <c:dispBlanksAs val="gap"/>
    <c:showDLblsOverMax val="0"/>
  </c:chart>
  <c:spPr>
    <a:ln w="12700">
      <a:solidFill>
        <a:schemeClr val="tx1"/>
      </a:solidFill>
    </a:ln>
    <a:effectLst>
      <a:outerShdw blurRad="50800" dist="38100" dir="10800000" algn="r" rotWithShape="0">
        <a:prstClr val="black">
          <a:alpha val="40000"/>
        </a:prstClr>
      </a:outerShdw>
    </a:effectLst>
  </c:sp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mk-MK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6357081870790229E-2"/>
          <c:y val="5.2869141357330424E-2"/>
          <c:w val="0.80950732062106656"/>
          <c:h val="0.8278372703412073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Sheet2!$A$84</c:f>
              <c:strCache>
                <c:ptCount val="1"/>
                <c:pt idx="0">
                  <c:v>Мажи 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dLbl>
              <c:idx val="0"/>
              <c:layout>
                <c:manualLayout>
                  <c:x val="-1.004016064257035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004016064257033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04016064257033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024096385542199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0040160642570333E-2"/>
                  <c:y val="-4.7619047619047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8.032128514056224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004016064257032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204819277108433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405622489959839E-2"/>
                  <c:y val="4.7619047619047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2048192771084338E-2"/>
                  <c:y val="4.76190476190481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>
                    <a:latin typeface="Arial" pitchFamily="34" charset="0"/>
                  </a:defRPr>
                </a:pPr>
                <a:endParaRPr lang="mk-M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Sheet2!$B$83:$K$83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Sheet2!$B$84:$K$84</c:f>
              <c:numCache>
                <c:formatCode>General</c:formatCode>
                <c:ptCount val="10"/>
                <c:pt idx="0">
                  <c:v>174.9</c:v>
                </c:pt>
                <c:pt idx="1">
                  <c:v>174.9</c:v>
                </c:pt>
                <c:pt idx="2">
                  <c:v>167.4</c:v>
                </c:pt>
                <c:pt idx="3" formatCode="0.0">
                  <c:v>169</c:v>
                </c:pt>
                <c:pt idx="4">
                  <c:v>158.30000000000001</c:v>
                </c:pt>
                <c:pt idx="5">
                  <c:v>162.69999999999999</c:v>
                </c:pt>
                <c:pt idx="6">
                  <c:v>141.1</c:v>
                </c:pt>
                <c:pt idx="7">
                  <c:v>129.9</c:v>
                </c:pt>
                <c:pt idx="8">
                  <c:v>120.6</c:v>
                </c:pt>
                <c:pt idx="9">
                  <c:v>131.9</c:v>
                </c:pt>
              </c:numCache>
            </c:numRef>
          </c:val>
        </c:ser>
        <c:ser>
          <c:idx val="1"/>
          <c:order val="1"/>
          <c:tx>
            <c:strRef>
              <c:f>Sheet2!$A$85</c:f>
              <c:strCache>
                <c:ptCount val="1"/>
                <c:pt idx="0">
                  <c:v>Жени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-2.85714285714285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0240963855421993E-3"/>
                  <c:y val="-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0240963855421993E-3"/>
                  <c:y val="-9.52380952380952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0240963855421993E-3"/>
                  <c:y val="-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040160642570333E-2"/>
                  <c:y val="-4.7619047619047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6104417670682781E-2"/>
                  <c:y val="-9.52380952380952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8.0321285140562242E-3"/>
                  <c:y val="-1.42857142857142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6.0240963855421933E-3"/>
                  <c:y val="-1.90476190476191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8.0321285140562242E-3"/>
                  <c:y val="-1.42857142857142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8072289156626505E-2"/>
                  <c:y val="-4.7619047619047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>
                    <a:latin typeface="Arial" pitchFamily="34" charset="0"/>
                    <a:cs typeface="Arial" pitchFamily="34" charset="0"/>
                  </a:defRPr>
                </a:pPr>
                <a:endParaRPr lang="mk-M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Sheet2!$B$83:$K$83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Sheet2!$B$85:$K$85</c:f>
              <c:numCache>
                <c:formatCode>General</c:formatCode>
                <c:ptCount val="10"/>
                <c:pt idx="0" formatCode="0.0">
                  <c:v>196.8</c:v>
                </c:pt>
                <c:pt idx="1">
                  <c:v>198.7</c:v>
                </c:pt>
                <c:pt idx="2">
                  <c:v>207.7</c:v>
                </c:pt>
                <c:pt idx="3">
                  <c:v>180.1</c:v>
                </c:pt>
                <c:pt idx="4">
                  <c:v>179.7</c:v>
                </c:pt>
                <c:pt idx="5">
                  <c:v>176.3</c:v>
                </c:pt>
                <c:pt idx="6">
                  <c:v>156.19999999999999</c:v>
                </c:pt>
                <c:pt idx="7">
                  <c:v>148.5</c:v>
                </c:pt>
                <c:pt idx="8">
                  <c:v>139.5</c:v>
                </c:pt>
                <c:pt idx="9">
                  <c:v>141.5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8140288"/>
        <c:axId val="198141824"/>
        <c:axId val="0"/>
      </c:bar3DChart>
      <c:catAx>
        <c:axId val="198140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aseline="0">
                <a:latin typeface="Arial" pitchFamily="34" charset="0"/>
              </a:defRPr>
            </a:pPr>
            <a:endParaRPr lang="mk-MK"/>
          </a:p>
        </c:txPr>
        <c:crossAx val="198141824"/>
        <c:crosses val="autoZero"/>
        <c:auto val="1"/>
        <c:lblAlgn val="ctr"/>
        <c:lblOffset val="100"/>
        <c:noMultiLvlLbl val="0"/>
      </c:catAx>
      <c:valAx>
        <c:axId val="198141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Arial" pitchFamily="34" charset="0"/>
                <a:cs typeface="Arial" pitchFamily="34" charset="0"/>
              </a:defRPr>
            </a:pPr>
            <a:endParaRPr lang="mk-MK"/>
          </a:p>
        </c:txPr>
        <c:crossAx val="19814028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mk-MK"/>
        </a:p>
      </c:txPr>
    </c:legend>
    <c:plotVisOnly val="1"/>
    <c:dispBlanksAs val="gap"/>
    <c:showDLblsOverMax val="0"/>
  </c:chart>
  <c:spPr>
    <a:ln w="12700">
      <a:solidFill>
        <a:schemeClr val="tx1"/>
      </a:solidFill>
    </a:ln>
    <a:effectLst>
      <a:outerShdw blurRad="50800" dist="38100" dir="10800000" algn="r" rotWithShape="0">
        <a:prstClr val="black">
          <a:alpha val="40000"/>
        </a:prstClr>
      </a:outerShdw>
    </a:effectLst>
  </c:spPr>
  <c:externalData r:id="rId1">
    <c:autoUpdate val="0"/>
  </c:externalData>
  <c:userShapes r:id="rId2"/>
</c:chartSpace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_rels/drawing4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_rels/drawing6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0.00218</cdr:x>
      <cdr:y>0.30035</cdr:y>
    </cdr:from>
    <cdr:to>
      <cdr:x>0.0444</cdr:x>
      <cdr:y>0.58507</cdr:y>
    </cdr:to>
    <cdr:sp macro="" textlink="">
      <cdr:nvSpPr>
        <cdr:cNvPr id="2" name="TextBox 1"/>
        <cdr:cNvSpPr txBox="1"/>
      </cdr:nvSpPr>
      <cdr:spPr>
        <a:xfrm xmlns:a="http://schemas.openxmlformats.org/drawingml/2006/main" rot="16200000">
          <a:off x="-238124" y="1076325"/>
          <a:ext cx="781050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mk-MK" sz="1100">
              <a:latin typeface="Arial" pitchFamily="34" charset="0"/>
              <a:cs typeface="Arial" pitchFamily="34" charset="0"/>
            </a:rPr>
            <a:t>Ст/100000</a:t>
          </a:r>
          <a:endParaRPr lang="en-US" sz="1100">
            <a:latin typeface="Arial" pitchFamily="34" charset="0"/>
            <a:cs typeface="Arial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0.0014</cdr:x>
      <cdr:y>0.32394</cdr:y>
    </cdr:from>
    <cdr:to>
      <cdr:x>0.04255</cdr:x>
      <cdr:y>0.59636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 rot="16200000">
          <a:off x="-230704" y="1115795"/>
          <a:ext cx="736900" cy="257909"/>
        </a:xfrm>
        <a:prstGeom xmlns:a="http://schemas.openxmlformats.org/drawingml/2006/main" prst="rect">
          <a:avLst/>
        </a:prstGeom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0.00612</cdr:x>
      <cdr:y>0.31597</cdr:y>
    </cdr:from>
    <cdr:to>
      <cdr:x>0.04587</cdr:x>
      <cdr:y>0.58838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 rot="16200000">
          <a:off x="-211713" y="1116588"/>
          <a:ext cx="747279" cy="247652"/>
        </a:xfrm>
        <a:prstGeom xmlns:a="http://schemas.openxmlformats.org/drawingml/2006/main" prst="rect">
          <a:avLst/>
        </a:prstGeom>
      </cdr:spPr>
    </cdr:pic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0.00615</cdr:x>
      <cdr:y>0.29643</cdr:y>
    </cdr:from>
    <cdr:to>
      <cdr:x>0.04923</cdr:x>
      <cdr:y>0.57662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 rot="16200000">
          <a:off x="-202189" y="1030866"/>
          <a:ext cx="747279" cy="266700"/>
        </a:xfrm>
        <a:prstGeom xmlns:a="http://schemas.openxmlformats.org/drawingml/2006/main" prst="rect">
          <a:avLst/>
        </a:prstGeom>
      </cdr:spPr>
    </cdr:pic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0.00302</cdr:x>
      <cdr:y>0.24643</cdr:y>
    </cdr:from>
    <cdr:to>
      <cdr:x>0.04985</cdr:x>
      <cdr:y>0.61072</cdr:y>
    </cdr:to>
    <cdr:sp macro="" textlink="">
      <cdr:nvSpPr>
        <cdr:cNvPr id="4" name="TextBox 1"/>
        <cdr:cNvSpPr txBox="1"/>
      </cdr:nvSpPr>
      <cdr:spPr>
        <a:xfrm xmlns:a="http://schemas.openxmlformats.org/drawingml/2006/main" rot="16200000">
          <a:off x="-319093" y="995371"/>
          <a:ext cx="971565" cy="29527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mk-MK" sz="1100">
              <a:latin typeface="Arial" pitchFamily="34" charset="0"/>
              <a:cs typeface="Arial" pitchFamily="34" charset="0"/>
            </a:rPr>
            <a:t>Ст/100000</a:t>
          </a:r>
          <a:endParaRPr lang="en-US" sz="1100">
            <a:latin typeface="Arial" pitchFamily="34" charset="0"/>
            <a:cs typeface="Arial" pitchFamily="34" charset="0"/>
          </a:endParaRP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0.00386</cdr:x>
      <cdr:y>0.00911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4386" cy="2438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0.01056</cdr:x>
      <cdr:y>0.26334</cdr:y>
    </cdr:from>
    <cdr:to>
      <cdr:x>0.08145</cdr:x>
      <cdr:y>0.63346</cdr:y>
    </cdr:to>
    <cdr:sp macro="" textlink="">
      <cdr:nvSpPr>
        <cdr:cNvPr id="3" name="TextBox 1"/>
        <cdr:cNvSpPr txBox="1"/>
      </cdr:nvSpPr>
      <cdr:spPr>
        <a:xfrm xmlns:a="http://schemas.openxmlformats.org/drawingml/2006/main" rot="16200000">
          <a:off x="-204795" y="976320"/>
          <a:ext cx="990617" cy="4476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mk-MK" sz="1100">
              <a:latin typeface="Arial" pitchFamily="34" charset="0"/>
              <a:cs typeface="Arial" pitchFamily="34" charset="0"/>
            </a:rPr>
            <a:t>Ст/100000</a:t>
          </a:r>
          <a:endParaRPr lang="en-US" sz="1100">
            <a:latin typeface="Arial" pitchFamily="34" charset="0"/>
            <a:cs typeface="Arial" pitchFamily="34" charset="0"/>
          </a:endParaRP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0.00753</cdr:x>
      <cdr:y>0.30714</cdr:y>
    </cdr:from>
    <cdr:to>
      <cdr:x>0.05058</cdr:x>
      <cdr:y>0.59643</cdr:y>
    </cdr:to>
    <cdr:sp macro="" textlink="">
      <cdr:nvSpPr>
        <cdr:cNvPr id="3" name="TextBox 1"/>
        <cdr:cNvSpPr txBox="1"/>
      </cdr:nvSpPr>
      <cdr:spPr>
        <a:xfrm xmlns:a="http://schemas.openxmlformats.org/drawingml/2006/main" rot="16200000">
          <a:off x="-202005" y="1068786"/>
          <a:ext cx="771525" cy="2722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mk-MK" sz="1100">
              <a:latin typeface="Arial" pitchFamily="34" charset="0"/>
              <a:cs typeface="Arial" pitchFamily="34" charset="0"/>
            </a:rPr>
            <a:t>Ст/100000</a:t>
          </a:r>
          <a:endParaRPr lang="en-US" sz="1100">
            <a:latin typeface="Arial" pitchFamily="34" charset="0"/>
            <a:cs typeface="Arial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FD81A-A346-4230-9D45-7CEE2BC6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6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tanjas</dc:creator>
  <cp:lastModifiedBy>Elena Cosevska</cp:lastModifiedBy>
  <cp:revision>46</cp:revision>
  <dcterms:created xsi:type="dcterms:W3CDTF">2017-09-20T10:07:00Z</dcterms:created>
  <dcterms:modified xsi:type="dcterms:W3CDTF">2020-08-24T08:26:00Z</dcterms:modified>
</cp:coreProperties>
</file>